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73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 w:val="0"/>
        <w:wordWrap/>
        <w:overflowPunct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厦门融昱佳弘投资合伙企业（有限合伙）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采取出具警示函措施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wordWrap/>
        <w:overflowPunct w:val="0"/>
        <w:adjustRightInd w:val="0"/>
        <w:snapToGrid w:val="0"/>
        <w:spacing w:beforeLines="0" w:afterLines="0" w:line="336" w:lineRule="auto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厦门融昱佳弘投资合伙企业（有限合伙）：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经查，你企业作为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广州多浦乐电子科技股份有限公司（以下简称多浦乐）持股5%以上股东，于2025年6月13日减持多浦乐股份，在你企业和一致行动人拥有权益的股份比例减少至5%的整数倍时，未按照相关规定停止交易，继续减持439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200股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减持价格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47.52元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股，减持金额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087.08万元。上述行为违反了《上市公司收购管理办法》（证监会令第227号，下同）第十三条第二款的规定。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年7月4日，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以52.63元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股的价格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购回了439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200股股票。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《上市公司收购管理办法》第七十五条的规定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决定对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采取出具警示函的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措施。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你企业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应认真吸取教训，加强证券法律法规学习，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切实规范减持上市公司股份行为，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依法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依规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履行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信息披露义务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，杜绝此类违规行为再次发生。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同时，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应于收到本决定书15日内向我局报送整改报告，并抄报深圳证券交易所。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/>
        <w:jc w:val="both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16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2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7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adjustRightInd w:val="0"/>
        <w:snapToGrid w:val="0"/>
        <w:spacing w:beforeLines="0" w:afterLines="0" w:line="240" w:lineRule="auto"/>
        <w:ind w:firstLine="0"/>
        <w:outlineLvl w:val="9"/>
        <w:rPr>
          <w:rFonts w:hint="default"/>
          <w:sz w:val="2"/>
          <w:szCs w:val="2"/>
          <w:lang w:val="en-US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AE693"/>
    <w:rsid w:val="6EDF082E"/>
    <w:rsid w:val="6F8393CC"/>
    <w:rsid w:val="7F7E890A"/>
    <w:rsid w:val="7FFBB4CD"/>
    <w:rsid w:val="B7FAE693"/>
    <w:rsid w:val="CFFF2049"/>
    <w:rsid w:val="DB16CE4E"/>
    <w:rsid w:val="DFFFD15C"/>
    <w:rsid w:val="FDE749A4"/>
    <w:rsid w:val="FF6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2025-07-12T02:41:00Z</dcterms:created>
  <dc:creator>刘林：主办人校对</dc:creator>
  <cp:lastModifiedBy>刘林</cp:lastModifiedBy>
  <dcterms:modified xsi:type="dcterms:W3CDTF">2025-07-17T17:41:18Z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E59514625F5A335118C0786833847A83</vt:lpwstr>
  </property>
</Properties>
</file>