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40"/>
          <w:szCs w:val="40"/>
        </w:rPr>
      </w:pPr>
    </w:p>
    <w:p>
      <w:pPr>
        <w:snapToGrid w:val="0"/>
        <w:spacing w:before="156" w:beforeLines="50" w:line="300" w:lineRule="auto"/>
        <w:jc w:val="center"/>
        <w:rPr>
          <w:rFonts w:ascii="黑体" w:hAnsi="Times New Roman" w:eastAsia="黑体" w:cs="Times New Roman"/>
          <w:color w:val="000000"/>
          <w:spacing w:val="12"/>
          <w:sz w:val="32"/>
        </w:rPr>
      </w:pP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5</w:t>
      </w:r>
      <w:r>
        <w:rPr>
          <w:rFonts w:hint="eastAsia" w:ascii="仿宋_GB2312" w:hAnsi="Times New Roman" w:eastAsia="仿宋_GB2312" w:cs="Times New Roman"/>
          <w:color w:val="000000"/>
          <w:spacing w:val="12"/>
          <w:sz w:val="28"/>
        </w:rPr>
        <w:t>〕</w:t>
      </w:r>
      <w:r>
        <w:rPr>
          <w:rFonts w:hint="default" w:ascii="仿宋_GB2312" w:hAnsi="Times New Roman" w:eastAsia="仿宋_GB2312" w:cs="Times New Roman"/>
          <w:color w:val="000000"/>
          <w:spacing w:val="12"/>
          <w:sz w:val="28"/>
          <w:lang w:val="en-US"/>
        </w:rPr>
        <w:t>72</w:t>
      </w:r>
      <w:r>
        <w:rPr>
          <w:rFonts w:hint="eastAsia" w:ascii="仿宋_GB2312" w:hAnsi="Times New Roman" w:eastAsia="仿宋_GB2312" w:cs="Times New Roman"/>
          <w:color w:val="000000"/>
          <w:spacing w:val="12"/>
          <w:sz w:val="28"/>
        </w:rPr>
        <w:t>号</w:t>
      </w:r>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">
                <v:fill on="f" focussize="0,0"/>
                <v:stroke weight="1pt" color="#FF0000" joinstyle="round"/>
                <v:imagedata o:title=""/>
                <o:lock v:ext="edit" aspectratio="f"/>
              </v:line>
            </w:pict>
          </mc:Fallback>
        </mc:AlternateContent>
      </w:r>
    </w:p>
    <w:p>
      <w:pPr>
        <w:jc w:val="center"/>
        <w:rPr>
          <w:rFonts w:hint="eastAsia"/>
          <w:sz w:val="28"/>
          <w:szCs w:val="28"/>
        </w:rPr>
      </w:pPr>
    </w:p>
    <w:p>
      <w:pPr>
        <w:adjustRightInd w:val="0"/>
        <w:snapToGrid w:val="0"/>
        <w:spacing w:beforeLines="0" w:afterLines="0" w:line="240" w:lineRule="auto"/>
        <w:jc w:val="center"/>
        <w:rPr>
          <w:rFonts w:hint="eastAsia" w:ascii="方正小标宋简体" w:hAnsi="方正小标宋简体" w:eastAsia="方正小标宋简体" w:cs="方正小标宋简体"/>
          <w:sz w:val="44"/>
          <w:szCs w:val="44"/>
          <w:highlight w:val="none"/>
          <w:lang w:eastAsia="zh-CN"/>
        </w:rPr>
      </w:pPr>
      <w:bookmarkStart w:id="1" w:name="_GoBack"/>
      <w:bookmarkStart w:id="0" w:name="quanwen"/>
      <w:r>
        <w:rPr>
          <w:rFonts w:hint="eastAsia" w:ascii="方正小标宋简体" w:hAnsi="方正小标宋简体" w:eastAsia="方正小标宋简体" w:cs="方正小标宋简体"/>
          <w:sz w:val="44"/>
          <w:szCs w:val="44"/>
          <w:highlight w:val="none"/>
        </w:rPr>
        <w:t>关于对</w:t>
      </w:r>
      <w:r>
        <w:rPr>
          <w:rFonts w:hint="eastAsia" w:ascii="方正小标宋简体" w:hAnsi="方正小标宋简体" w:eastAsia="方正小标宋简体" w:cs="方正小标宋简体"/>
          <w:sz w:val="44"/>
          <w:szCs w:val="44"/>
          <w:highlight w:val="none"/>
          <w:lang w:eastAsia="zh-CN"/>
        </w:rPr>
        <w:t>上海元一成物科技有限公司、陈珂如</w:t>
      </w:r>
    </w:p>
    <w:p>
      <w:pPr>
        <w:adjustRightInd w:val="0"/>
        <w:snapToGrid w:val="0"/>
        <w:spacing w:beforeLines="0" w:afterLines="0" w:line="240" w:lineRule="auto"/>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44"/>
          <w:szCs w:val="44"/>
          <w:highlight w:val="none"/>
        </w:rPr>
        <w:t>采取</w:t>
      </w:r>
      <w:r>
        <w:rPr>
          <w:rFonts w:hint="eastAsia" w:ascii="方正小标宋简体" w:hAnsi="方正小标宋简体" w:eastAsia="方正小标宋简体" w:cs="方正小标宋简体"/>
          <w:sz w:val="44"/>
          <w:szCs w:val="44"/>
          <w:highlight w:val="none"/>
          <w:lang w:eastAsia="zh-CN"/>
        </w:rPr>
        <w:t>出具警示函</w:t>
      </w:r>
      <w:r>
        <w:rPr>
          <w:rFonts w:hint="eastAsia" w:ascii="方正小标宋简体" w:hAnsi="方正小标宋简体" w:eastAsia="方正小标宋简体" w:cs="方正小标宋简体"/>
          <w:sz w:val="44"/>
          <w:szCs w:val="44"/>
          <w:highlight w:val="none"/>
        </w:rPr>
        <w:t>措施的决定</w:t>
      </w:r>
    </w:p>
    <w:bookmarkEnd w:id="1"/>
    <w:p>
      <w:pPr>
        <w:keepNext w:val="0"/>
        <w:keepLines w:val="0"/>
        <w:pageBreakBefore w:val="0"/>
        <w:kinsoku/>
        <w:wordWrap/>
        <w:overflowPunct w:val="0"/>
        <w:topLinePunct w:val="0"/>
        <w:autoSpaceDE/>
        <w:autoSpaceDN/>
        <w:bidi w:val="0"/>
        <w:adjustRightInd w:val="0"/>
        <w:snapToGrid w:val="0"/>
        <w:spacing w:beforeLines="0" w:afterLines="0" w:line="240" w:lineRule="auto"/>
        <w:jc w:val="both"/>
        <w:textAlignment w:val="auto"/>
        <w:rPr>
          <w:rFonts w:hint="eastAsia" w:ascii="方正小标宋简体" w:hAnsi="方正小标宋简体" w:eastAsia="方正小标宋简体" w:cs="方正小标宋简体"/>
          <w:kern w:val="0"/>
          <w:sz w:val="32"/>
          <w:szCs w:val="32"/>
          <w:highlight w:val="none"/>
          <w:lang w:eastAsia="zh-CN"/>
        </w:rPr>
      </w:pPr>
    </w:p>
    <w:p>
      <w:pPr>
        <w:keepNext w:val="0"/>
        <w:keepLines w:val="0"/>
        <w:pageBreakBefore w:val="0"/>
        <w:kinsoku/>
        <w:wordWrap/>
        <w:overflowPunct w:val="0"/>
        <w:topLinePunct w:val="0"/>
        <w:autoSpaceDE/>
        <w:autoSpaceDN/>
        <w:bidi w:val="0"/>
        <w:adjustRightInd w:val="0"/>
        <w:snapToGrid w:val="0"/>
        <w:spacing w:beforeLines="0" w:afterLines="0" w:line="336" w:lineRule="auto"/>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上海元一成物科技有限公司、陈珂如：</w:t>
      </w:r>
    </w:p>
    <w:p>
      <w:pPr>
        <w:wordWrap/>
        <w:overflowPunct w:val="0"/>
        <w:adjustRightInd w:val="0"/>
        <w:snapToGrid w:val="0"/>
        <w:spacing w:before="0" w:beforeLines="0" w:after="0" w:afterLines="0" w:line="336" w:lineRule="auto"/>
        <w:ind w:left="0" w:leftChars="0" w:right="0" w:firstLine="640" w:firstLineChars="200"/>
        <w:jc w:val="both"/>
        <w:textAlignment w:val="auto"/>
        <w:outlineLvl w:val="9"/>
        <w:rPr>
          <w:rFonts w:hint="eastAsia" w:ascii="仿宋_GB2312" w:hAnsi="仿宋_GB2312" w:eastAsia="仿宋_GB2312" w:cs="Times New Roman"/>
          <w:spacing w:val="0"/>
          <w:sz w:val="32"/>
          <w:highlight w:val="none"/>
          <w:lang w:val="en-US" w:eastAsia="zh-CN"/>
        </w:rPr>
      </w:pPr>
      <w:r>
        <w:rPr>
          <w:rFonts w:hint="eastAsia" w:ascii="仿宋_GB2312" w:hAnsi="仿宋_GB2312" w:eastAsia="仿宋_GB2312" w:cs="Times New Roman"/>
          <w:spacing w:val="0"/>
          <w:sz w:val="32"/>
          <w:highlight w:val="none"/>
          <w:lang w:eastAsia="zh-CN"/>
        </w:rPr>
        <w:t>经</w:t>
      </w:r>
      <w:r>
        <w:rPr>
          <w:rFonts w:hint="eastAsia" w:ascii="仿宋_GB2312" w:hAnsi="仿宋_GB2312" w:eastAsia="仿宋_GB2312" w:cs="Times New Roman"/>
          <w:spacing w:val="0"/>
          <w:sz w:val="32"/>
          <w:highlight w:val="none"/>
          <w:lang w:val="en-US" w:eastAsia="zh-CN"/>
        </w:rPr>
        <w:t>查，你公司作为金发拉比妇婴童用品股份有限公司的收购人及相关股份权益变动活动中的信息披露义务人，存在以下违规行为：</w:t>
      </w:r>
    </w:p>
    <w:p>
      <w:pPr>
        <w:wordWrap/>
        <w:overflowPunct w:val="0"/>
        <w:adjustRightInd w:val="0"/>
        <w:snapToGrid w:val="0"/>
        <w:spacing w:before="0" w:beforeLines="0" w:after="0" w:afterLines="0" w:line="336" w:lineRule="auto"/>
        <w:ind w:left="0" w:leftChars="0" w:right="0" w:firstLine="640" w:firstLineChars="200"/>
        <w:jc w:val="both"/>
        <w:textAlignment w:val="auto"/>
        <w:outlineLvl w:val="9"/>
        <w:rPr>
          <w:rFonts w:hint="default" w:ascii="仿宋_GB2312" w:hAnsi="仿宋_GB2312" w:eastAsia="仿宋_GB2312" w:cs="Times New Roman"/>
          <w:color w:val="auto"/>
          <w:kern w:val="0"/>
          <w:sz w:val="32"/>
          <w:highlight w:val="none"/>
          <w:lang w:val="en-US" w:eastAsia="zh-CN"/>
        </w:rPr>
      </w:pPr>
      <w:r>
        <w:rPr>
          <w:rFonts w:hint="eastAsia" w:ascii="仿宋_GB2312" w:hAnsi="仿宋_GB2312" w:eastAsia="仿宋_GB2312" w:cs="Times New Roman"/>
          <w:spacing w:val="0"/>
          <w:sz w:val="32"/>
          <w:highlight w:val="none"/>
          <w:lang w:val="en-US" w:eastAsia="zh-CN"/>
        </w:rPr>
        <w:t>你公司在</w:t>
      </w:r>
      <w:r>
        <w:rPr>
          <w:rFonts w:hint="eastAsia" w:ascii="仿宋_GB2312" w:hAnsi="仿宋_GB2312" w:eastAsia="仿宋_GB2312" w:cs="Times New Roman"/>
          <w:kern w:val="0"/>
          <w:sz w:val="32"/>
          <w:szCs w:val="22"/>
          <w:highlight w:val="none"/>
          <w:lang w:val="en-US" w:eastAsia="zh-CN" w:bidi="ar-SA"/>
        </w:rPr>
        <w:t>2025年6月17日披</w:t>
      </w:r>
      <w:r>
        <w:rPr>
          <w:rFonts w:hint="eastAsia" w:ascii="仿宋_GB2312" w:hAnsi="仿宋_GB2312" w:eastAsia="仿宋_GB2312" w:cs="Times New Roman"/>
          <w:kern w:val="2"/>
          <w:sz w:val="32"/>
          <w:szCs w:val="24"/>
          <w:highlight w:val="none"/>
          <w:lang w:val="en-US" w:eastAsia="zh-CN" w:bidi="ar-SA"/>
        </w:rPr>
        <w:t>露的</w:t>
      </w:r>
      <w:r>
        <w:rPr>
          <w:rFonts w:hint="eastAsia" w:ascii="仿宋_GB2312" w:hAnsi="仿宋_GB2312" w:eastAsia="仿宋_GB2312" w:cs="Times New Roman"/>
          <w:kern w:val="2"/>
          <w:sz w:val="32"/>
          <w:szCs w:val="24"/>
          <w:highlight w:val="none"/>
          <w:lang w:eastAsia="zh-CN"/>
        </w:rPr>
        <w:t>《</w:t>
      </w:r>
      <w:r>
        <w:rPr>
          <w:rFonts w:hint="eastAsia" w:ascii="仿宋_GB2312" w:hAnsi="仿宋_GB2312" w:eastAsia="仿宋_GB2312" w:cs="Times New Roman"/>
          <w:spacing w:val="0"/>
          <w:sz w:val="32"/>
          <w:highlight w:val="none"/>
          <w:lang w:val="en-US" w:eastAsia="zh-CN"/>
        </w:rPr>
        <w:t>金发拉比妇婴童用品股份有限公司</w:t>
      </w:r>
      <w:r>
        <w:rPr>
          <w:rFonts w:hint="eastAsia" w:ascii="仿宋_GB2312" w:hAnsi="仿宋_GB2312" w:eastAsia="仿宋_GB2312" w:cs="Times New Roman"/>
          <w:kern w:val="2"/>
          <w:sz w:val="32"/>
          <w:szCs w:val="24"/>
          <w:highlight w:val="none"/>
          <w:lang w:eastAsia="zh-CN"/>
        </w:rPr>
        <w:t>详</w:t>
      </w:r>
      <w:r>
        <w:rPr>
          <w:rFonts w:hint="default" w:ascii="仿宋_GB2312" w:hAnsi="仿宋_GB2312" w:eastAsia="仿宋_GB2312" w:cs="Times New Roman"/>
          <w:kern w:val="2"/>
          <w:sz w:val="32"/>
          <w:szCs w:val="24"/>
          <w:highlight w:val="none"/>
          <w:lang w:eastAsia="zh-CN"/>
        </w:rPr>
        <w:t>式</w:t>
      </w:r>
      <w:r>
        <w:rPr>
          <w:rFonts w:hint="eastAsia" w:ascii="仿宋_GB2312" w:hAnsi="仿宋_GB2312" w:eastAsia="仿宋_GB2312" w:cs="Times New Roman"/>
          <w:kern w:val="2"/>
          <w:sz w:val="32"/>
          <w:szCs w:val="24"/>
          <w:highlight w:val="none"/>
          <w:lang w:eastAsia="zh-CN"/>
        </w:rPr>
        <w:t>权益变动报告书》中，</w:t>
      </w:r>
      <w:r>
        <w:rPr>
          <w:rFonts w:hint="eastAsia" w:ascii="仿宋_GB2312" w:hAnsi="仿宋_GB2312" w:eastAsia="仿宋_GB2312" w:cs="Times New Roman"/>
          <w:kern w:val="2"/>
          <w:sz w:val="32"/>
          <w:szCs w:val="24"/>
          <w:highlight w:val="none"/>
          <w:lang w:val="en-US" w:eastAsia="zh-CN" w:bidi="ar-SA"/>
        </w:rPr>
        <w:t>未能如实披露</w:t>
      </w:r>
      <w:r>
        <w:rPr>
          <w:rFonts w:hint="eastAsia" w:ascii="仿宋_GB2312" w:hAnsi="仿宋_GB2312" w:eastAsia="仿宋_GB2312" w:cs="Times New Roman"/>
          <w:kern w:val="2"/>
          <w:sz w:val="32"/>
          <w:szCs w:val="24"/>
          <w:highlight w:val="none"/>
          <w:lang w:val="en-US" w:eastAsia="zh-CN"/>
        </w:rPr>
        <w:t>公司董事</w:t>
      </w:r>
      <w:r>
        <w:rPr>
          <w:rFonts w:hint="eastAsia" w:ascii="仿宋_GB2312" w:hAnsi="仿宋_GB2312" w:eastAsia="仿宋_GB2312" w:cs="Times New Roman"/>
          <w:kern w:val="2"/>
          <w:sz w:val="32"/>
          <w:szCs w:val="24"/>
          <w:highlight w:val="none"/>
          <w:lang w:eastAsia="zh-CN"/>
        </w:rPr>
        <w:t>陈珂如最近五年涉及与经济纠纷有关的重大民事诉讼，包括诉讼结果以及日期、原因和执行情况等，且相关信息涉及公司上层股东</w:t>
      </w:r>
      <w:r>
        <w:rPr>
          <w:rFonts w:hint="eastAsia" w:ascii="仿宋_GB2312" w:hAnsi="Times New Roman" w:eastAsia="仿宋_GB2312" w:cs="Times New Roman"/>
          <w:kern w:val="0"/>
          <w:sz w:val="32"/>
          <w:szCs w:val="32"/>
          <w:highlight w:val="none"/>
          <w:lang w:eastAsia="zh-CN"/>
        </w:rPr>
        <w:t>上海浩然春晖企业管理合伙企业（有限合伙）已被司法机关裁定受理强制清算申请的情况，有关行为违反了《上市公司信息披露管理办法》（证监会令第182号，下同）第三条第一款、《上市公司收购管理办法》（</w:t>
      </w:r>
      <w:r>
        <w:rPr>
          <w:rFonts w:hint="default" w:ascii="仿宋_GB2312" w:hAnsi="Times New Roman" w:eastAsia="仿宋_GB2312" w:cs="Times New Roman"/>
          <w:kern w:val="0"/>
          <w:sz w:val="32"/>
          <w:szCs w:val="32"/>
          <w:highlight w:val="none"/>
          <w:lang w:eastAsia="zh-CN"/>
        </w:rPr>
        <w:t>证监会令第227号</w:t>
      </w:r>
      <w:r>
        <w:rPr>
          <w:rFonts w:hint="eastAsia" w:ascii="仿宋_GB2312" w:hAnsi="Times New Roman" w:eastAsia="仿宋_GB2312" w:cs="Times New Roman"/>
          <w:kern w:val="0"/>
          <w:sz w:val="32"/>
          <w:szCs w:val="32"/>
          <w:highlight w:val="none"/>
          <w:lang w:eastAsia="zh-CN"/>
        </w:rPr>
        <w:t>）第三条第三款的规定。</w:t>
      </w:r>
    </w:p>
    <w:p>
      <w:pPr>
        <w:widowControl w:val="0"/>
        <w:wordWrap/>
        <w:overflowPunct w:val="0"/>
        <w:adjustRightInd w:val="0"/>
        <w:snapToGrid w:val="0"/>
        <w:spacing w:before="0" w:beforeLines="0" w:after="0" w:afterLines="0" w:line="336" w:lineRule="auto"/>
        <w:ind w:left="0" w:leftChars="0" w:right="0" w:firstLine="640" w:firstLineChars="200"/>
        <w:jc w:val="both"/>
        <w:textAlignment w:val="auto"/>
        <w:outlineLvl w:val="9"/>
        <w:rPr>
          <w:rFonts w:hint="eastAsia" w:ascii="仿宋_GB2312" w:hAnsi="仿宋_GB2312" w:eastAsia="仿宋_GB2312" w:cs="Times New Roman"/>
          <w:spacing w:val="0"/>
          <w:kern w:val="0"/>
          <w:sz w:val="32"/>
          <w:highlight w:val="none"/>
          <w:lang w:val="en-US" w:eastAsia="zh-CN"/>
        </w:rPr>
      </w:pPr>
      <w:r>
        <w:rPr>
          <w:rFonts w:hint="eastAsia" w:ascii="仿宋_GB2312" w:hAnsi="Times New Roman" w:eastAsia="仿宋_GB2312" w:cs="Times New Roman"/>
          <w:kern w:val="0"/>
          <w:sz w:val="32"/>
          <w:szCs w:val="32"/>
          <w:highlight w:val="none"/>
          <w:lang w:eastAsia="zh-CN"/>
        </w:rPr>
        <w:t>陈珂如作为</w:t>
      </w:r>
      <w:r>
        <w:rPr>
          <w:rFonts w:hint="eastAsia" w:ascii="仿宋_GB2312" w:hAnsi="Times New Roman" w:eastAsia="仿宋_GB2312" w:cs="Times New Roman"/>
          <w:kern w:val="0"/>
          <w:sz w:val="32"/>
          <w:szCs w:val="32"/>
          <w:highlight w:val="none"/>
          <w:lang w:val="en-US" w:eastAsia="zh-CN"/>
        </w:rPr>
        <w:t>你公司董事，对上述违规事项负有主要责任。</w:t>
      </w:r>
      <w:r>
        <w:rPr>
          <w:rFonts w:hint="eastAsia" w:ascii="仿宋_GB2312" w:hAnsi="仿宋_GB2312" w:eastAsia="仿宋_GB2312" w:cs="仿宋_GB2312"/>
          <w:kern w:val="0"/>
          <w:sz w:val="32"/>
          <w:szCs w:val="32"/>
          <w:highlight w:val="none"/>
          <w:lang w:val="en-US" w:eastAsia="zh-CN"/>
        </w:rPr>
        <w:t>根据</w:t>
      </w:r>
      <w:r>
        <w:rPr>
          <w:rFonts w:hint="eastAsia" w:ascii="仿宋_GB2312" w:hAnsi="仿宋_GB2312" w:eastAsia="仿宋_GB2312" w:cs="Times New Roman"/>
          <w:kern w:val="0"/>
          <w:sz w:val="32"/>
          <w:szCs w:val="22"/>
          <w:highlight w:val="none"/>
          <w:lang w:val="en-US" w:eastAsia="zh-CN" w:bidi="ar-SA"/>
        </w:rPr>
        <w:t>《上市公司信息披露管理办法》</w:t>
      </w:r>
      <w:r>
        <w:rPr>
          <w:rFonts w:hint="eastAsia" w:ascii="仿宋_GB2312" w:hAnsi="仿宋_GB2312" w:eastAsia="仿宋_GB2312" w:cs="Times New Roman"/>
          <w:spacing w:val="0"/>
          <w:kern w:val="0"/>
          <w:sz w:val="32"/>
          <w:highlight w:val="none"/>
          <w:lang w:val="en-US" w:eastAsia="zh-CN"/>
        </w:rPr>
        <w:t>第五十二条的规定</w:t>
      </w:r>
      <w:r>
        <w:rPr>
          <w:rFonts w:hint="eastAsia" w:ascii="仿宋_GB2312" w:hAnsi="仿宋_GB2312" w:eastAsia="仿宋_GB2312" w:cs="仿宋_GB2312"/>
          <w:kern w:val="0"/>
          <w:sz w:val="32"/>
          <w:szCs w:val="32"/>
          <w:highlight w:val="none"/>
          <w:lang w:val="en-US" w:eastAsia="zh-CN"/>
        </w:rPr>
        <w:t>，我局决定对</w:t>
      </w:r>
      <w:r>
        <w:rPr>
          <w:rFonts w:hint="eastAsia" w:ascii="仿宋_GB2312" w:hAnsi="仿宋_GB2312" w:eastAsia="仿宋_GB2312" w:cs="仿宋_GB2312"/>
          <w:kern w:val="0"/>
          <w:sz w:val="32"/>
          <w:szCs w:val="32"/>
          <w:highlight w:val="none"/>
          <w:lang w:val="en" w:eastAsia="zh-CN"/>
        </w:rPr>
        <w:t>你们</w:t>
      </w:r>
      <w:r>
        <w:rPr>
          <w:rFonts w:hint="eastAsia" w:ascii="仿宋_GB2312" w:hAnsi="仿宋_GB2312" w:eastAsia="仿宋_GB2312" w:cs="仿宋_GB2312"/>
          <w:kern w:val="0"/>
          <w:sz w:val="32"/>
          <w:szCs w:val="32"/>
          <w:highlight w:val="none"/>
          <w:lang w:val="en-US" w:eastAsia="zh-CN"/>
        </w:rPr>
        <w:t>采取出具警示函的行政监管措施，</w:t>
      </w:r>
      <w:r>
        <w:rPr>
          <w:rFonts w:hint="eastAsia" w:ascii="仿宋_GB2312" w:hAnsi="仿宋_GB2312" w:eastAsia="仿宋_GB2312" w:cs="仿宋_GB2312"/>
          <w:kern w:val="0"/>
          <w:sz w:val="32"/>
          <w:szCs w:val="32"/>
          <w:highlight w:val="none"/>
          <w:lang w:val="en" w:eastAsia="zh-CN"/>
        </w:rPr>
        <w:t>你们</w:t>
      </w:r>
      <w:r>
        <w:rPr>
          <w:rFonts w:hint="eastAsia" w:ascii="仿宋_GB2312" w:hAnsi="仿宋_GB2312" w:eastAsia="仿宋_GB2312" w:cs="仿宋_GB2312"/>
          <w:spacing w:val="0"/>
          <w:kern w:val="0"/>
          <w:sz w:val="32"/>
          <w:highlight w:val="none"/>
        </w:rPr>
        <w:t>应认真吸取教训，切实加强对证券法律法规的学习，</w:t>
      </w:r>
      <w:r>
        <w:rPr>
          <w:rFonts w:hint="eastAsia" w:ascii="仿宋_GB2312" w:hAnsi="Times New Roman" w:eastAsia="仿宋_GB2312" w:cs="Times New Roman"/>
          <w:color w:val="000000"/>
          <w:spacing w:val="0"/>
          <w:kern w:val="0"/>
          <w:sz w:val="32"/>
          <w:highlight w:val="none"/>
          <w:lang w:eastAsia="zh-CN"/>
        </w:rPr>
        <w:t>严格按规定</w:t>
      </w:r>
      <w:r>
        <w:rPr>
          <w:rFonts w:hint="eastAsia" w:ascii="仿宋_GB2312" w:hAnsi="Times New Roman" w:eastAsia="仿宋_GB2312" w:cs="Times New Roman"/>
          <w:color w:val="000000"/>
          <w:spacing w:val="0"/>
          <w:kern w:val="0"/>
          <w:sz w:val="32"/>
          <w:highlight w:val="none"/>
        </w:rPr>
        <w:t>履行信息披露义务</w:t>
      </w:r>
      <w:r>
        <w:rPr>
          <w:rFonts w:hint="eastAsia" w:ascii="仿宋_GB2312" w:hAnsi="Times New Roman" w:eastAsia="仿宋_GB2312" w:cs="Times New Roman"/>
          <w:color w:val="000000"/>
          <w:spacing w:val="0"/>
          <w:kern w:val="0"/>
          <w:sz w:val="32"/>
          <w:highlight w:val="none"/>
          <w:lang w:eastAsia="zh-CN"/>
        </w:rPr>
        <w:t>，杜绝此类违规行为再次发生</w:t>
      </w:r>
      <w:r>
        <w:rPr>
          <w:rFonts w:hint="eastAsia" w:ascii="仿宋_GB2312" w:hAnsi="仿宋_GB2312" w:eastAsia="仿宋_GB2312" w:cs="仿宋_GB2312"/>
          <w:spacing w:val="0"/>
          <w:kern w:val="0"/>
          <w:sz w:val="32"/>
          <w:highlight w:val="none"/>
          <w:lang w:val="en-US" w:eastAsia="zh-CN"/>
        </w:rPr>
        <w:t>。</w:t>
      </w:r>
    </w:p>
    <w:p>
      <w:pPr>
        <w:overflowPunct w:val="0"/>
        <w:adjustRightInd w:val="0"/>
        <w:snapToGrid w:val="0"/>
        <w:spacing w:beforeLines="0" w:afterLines="0" w:line="336" w:lineRule="auto"/>
        <w:textAlignment w:val="auto"/>
        <w:rPr>
          <w:rFonts w:ascii="宋体" w:hAnsi="宋体" w:cs="宋体"/>
          <w:color w:val="000000"/>
          <w:sz w:val="28"/>
          <w:szCs w:val="28"/>
        </w:rPr>
      </w:pPr>
      <w:r>
        <w:rPr>
          <w:rFonts w:hint="eastAsia" w:ascii="仿宋_GB2312" w:hAnsi="仿宋_GB2312" w:eastAsia="仿宋_GB2312" w:cs="仿宋_GB2312"/>
          <w:kern w:val="0"/>
          <w:sz w:val="32"/>
          <w:szCs w:val="32"/>
          <w:lang w:val="en-US" w:eastAsia="zh-CN"/>
        </w:rPr>
        <w:t xml:space="preserve">    如果对本监督管理措施不服，可以在收到本决定书之日起60日内向中国证券监督管理委员会提出行政复议申请；也可以在收到本决定书之日起6个月内向有管辖权的人民法院提起诉讼。复议与诉讼期间，上述监督管理措施不停止执行。</w:t>
      </w:r>
    </w:p>
    <w:p>
      <w:pPr>
        <w:pStyle w:val="8"/>
        <w:widowControl w:val="0"/>
        <w:overflowPunct w:val="0"/>
        <w:snapToGrid w:val="0"/>
        <w:spacing w:line="360" w:lineRule="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7</w:t>
      </w:r>
      <w:r>
        <w:rPr>
          <w:rFonts w:hint="eastAsia" w:ascii="仿宋_GB2312" w:hAnsi="Times New Roman" w:eastAsia="仿宋_GB2312" w:cs="Times New Roman"/>
          <w:color w:val="000000"/>
          <w:spacing w:val="10"/>
          <w:sz w:val="32"/>
          <w:szCs w:val="32"/>
        </w:rPr>
        <w:t>月</w:t>
      </w:r>
      <w:r>
        <w:rPr>
          <w:rFonts w:hint="default" w:ascii="仿宋_GB2312" w:hAnsi="Times New Roman" w:eastAsia="仿宋_GB2312" w:cs="Times New Roman"/>
          <w:color w:val="000000"/>
          <w:spacing w:val="10"/>
          <w:sz w:val="32"/>
          <w:szCs w:val="32"/>
          <w:lang w:val="en-US"/>
        </w:rPr>
        <w:t>15</w:t>
      </w:r>
      <w:r>
        <w:rPr>
          <w:rFonts w:hint="eastAsia" w:ascii="仿宋_GB2312" w:hAnsi="Times New Roman" w:eastAsia="仿宋_GB2312" w:cs="Times New Roman"/>
          <w:color w:val="000000"/>
          <w:spacing w:val="10"/>
          <w:sz w:val="32"/>
          <w:szCs w:val="32"/>
        </w:rPr>
        <w:t>日</w:t>
      </w:r>
    </w:p>
    <w:p>
      <w:pPr>
        <w:keepNext w:val="0"/>
        <w:keepLines w:val="0"/>
        <w:widowControl/>
        <w:suppressLineNumbers w:val="0"/>
        <w:snapToGrid w:val="0"/>
        <w:spacing w:line="360" w:lineRule="auto"/>
        <w:jc w:val="lef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snapToGrid w:val="0"/>
        <w:spacing w:line="300" w:lineRule="auto"/>
        <w:ind w:right="26"/>
        <w:jc w:val="left"/>
        <w:rPr>
          <w:rFonts w:hint="eastAsia" w:ascii="黑体" w:eastAsia="黑体"/>
          <w:spacing w:val="8"/>
          <w:sz w:val="22"/>
          <w:szCs w:val="20"/>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296" w:firstLineChars="100"/>
        <w:textAlignment w:val="auto"/>
        <w:rPr>
          <w:rFonts w:ascii="长城仿宋" w:eastAsia="长城仿宋"/>
          <w:sz w:val="28"/>
        </w:rPr>
      </w:pPr>
      <w:r>
        <w:rPr>
          <w:rFonts w:hint="eastAsia" w:ascii="仿宋_GB2312" w:eastAsia="仿宋_GB2312"/>
          <w:spacing w:val="8"/>
          <w:sz w:val="28"/>
        </w:rPr>
        <w:t>抄送：证监会上市司、法治司；深圳证券交易所。</w:t>
      </w:r>
    </w:p>
    <w:p>
      <w:pPr>
        <w:keepNext w:val="0"/>
        <w:keepLines w:val="0"/>
        <w:pageBreakBefore w:val="0"/>
        <w:widowControl w:val="0"/>
        <w:pBdr>
          <w:top w:val="single" w:color="auto" w:sz="4" w:space="6"/>
        </w:pBdr>
        <w:kinsoku/>
        <w:wordWrap/>
        <w:overflowPunct/>
        <w:topLinePunct w:val="0"/>
        <w:autoSpaceDE/>
        <w:autoSpaceDN/>
        <w:bidi w:val="0"/>
        <w:adjustRightInd w:val="0"/>
        <w:snapToGrid w:val="0"/>
        <w:spacing w:after="109" w:afterLines="35"/>
        <w:ind w:firstLine="296" w:firstLineChars="100"/>
        <w:jc w:val="left"/>
        <w:textAlignment w:val="auto"/>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default" w:ascii="仿宋_GB2312" w:eastAsia="仿宋_GB2312"/>
          <w:spacing w:val="8"/>
          <w:sz w:val="28"/>
          <w:lang w:val="en-US"/>
        </w:rPr>
        <w:t xml:space="preserve">    </w:t>
      </w:r>
      <w:r>
        <w:rPr>
          <w:rFonts w:hint="eastAsia" w:ascii="仿宋_GB2312" w:eastAsia="仿宋_GB2312"/>
          <w:spacing w:val="8"/>
          <w:sz w:val="28"/>
        </w:rPr>
        <w:t xml:space="preserve"> </w:t>
      </w:r>
      <w:r>
        <w:rPr>
          <w:rFonts w:hint="default" w:ascii="仿宋_GB2312" w:eastAsia="仿宋_GB2312"/>
          <w:spacing w:val="8"/>
          <w:sz w:val="28"/>
          <w:lang w:val="en" w:eastAsia="zh-CN"/>
        </w:rPr>
        <w:t>202</w:t>
      </w:r>
      <w:r>
        <w:rPr>
          <w:rFonts w:hint="default" w:ascii="仿宋_GB2312" w:eastAsia="仿宋_GB2312"/>
          <w:spacing w:val="8"/>
          <w:sz w:val="28"/>
          <w:lang w:val="en-US" w:eastAsia="zh-CN"/>
        </w:rPr>
        <w:t>5</w:t>
      </w:r>
      <w:r>
        <w:rPr>
          <w:rFonts w:hint="eastAsia" w:ascii="仿宋_GB2312" w:eastAsia="仿宋_GB2312"/>
          <w:spacing w:val="8"/>
          <w:sz w:val="28"/>
        </w:rPr>
        <w:t>年</w:t>
      </w:r>
      <w:r>
        <w:rPr>
          <w:rFonts w:hint="default" w:ascii="仿宋_GB2312" w:eastAsia="仿宋_GB2312"/>
          <w:spacing w:val="8"/>
          <w:sz w:val="28"/>
          <w:lang w:val="en-US"/>
        </w:rPr>
        <w:t>7</w:t>
      </w:r>
      <w:r>
        <w:rPr>
          <w:rFonts w:hint="eastAsia" w:ascii="仿宋_GB2312" w:eastAsia="仿宋_GB2312"/>
          <w:spacing w:val="8"/>
          <w:sz w:val="28"/>
        </w:rPr>
        <w:t>月</w:t>
      </w:r>
      <w:r>
        <w:rPr>
          <w:rFonts w:hint="default" w:ascii="仿宋_GB2312" w:eastAsia="仿宋_GB2312"/>
          <w:spacing w:val="8"/>
          <w:sz w:val="28"/>
          <w:lang w:val="en-US"/>
        </w:rPr>
        <w:t>15</w:t>
      </w:r>
      <w:r>
        <w:rPr>
          <w:rFonts w:hint="eastAsia" w:ascii="仿宋_GB2312" w:eastAsia="仿宋_GB2312"/>
          <w:spacing w:val="8"/>
          <w:sz w:val="28"/>
        </w:rPr>
        <w:t>日印发</w:t>
      </w:r>
    </w:p>
    <w:p>
      <w:pPr>
        <w:keepNext w:val="0"/>
        <w:keepLines w:val="0"/>
        <w:pageBreakBefore w:val="0"/>
        <w:widowControl w:val="0"/>
        <w:pBdr>
          <w:top w:val="single" w:color="auto" w:sz="8" w:space="7"/>
        </w:pBdr>
        <w:kinsoku/>
        <w:wordWrap/>
        <w:overflowPunct/>
        <w:topLinePunct w:val="0"/>
        <w:autoSpaceDE/>
        <w:autoSpaceDN/>
        <w:bidi w:val="0"/>
        <w:adjustRightInd w:val="0"/>
        <w:snapToGrid w:val="0"/>
        <w:spacing w:beforeLines="0" w:afterLines="0" w:line="240" w:lineRule="auto"/>
        <w:ind w:firstLine="0"/>
        <w:jc w:val="left"/>
        <w:textAlignment w:val="auto"/>
        <w:rPr>
          <w:rFonts w:hint="eastAsia" w:ascii="仿宋_GB2312" w:eastAsia="仿宋_GB2312"/>
          <w:spacing w:val="8"/>
          <w:sz w:val="2"/>
          <w:szCs w:val="2"/>
        </w:rPr>
      </w:pPr>
    </w:p>
    <w:bookmarkEnd w:id="0"/>
    <w:p>
      <w:pPr>
        <w:snapToGrid w:val="0"/>
        <w:spacing w:beforeLines="0" w:afterLines="0"/>
        <w:rPr>
          <w:sz w:val="2"/>
          <w:szCs w:val="2"/>
        </w:rPr>
      </w:pPr>
    </w:p>
    <w:sectPr>
      <w:headerReference r:id="rId3" w:type="default"/>
      <w:footerReference r:id="rId4" w:type="default"/>
      <w:pgSz w:w="11906" w:h="16838"/>
      <w:pgMar w:top="2097" w:right="1474" w:bottom="1984" w:left="1587"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长城仿宋">
    <w:altName w:val="方正仿宋_GBK"/>
    <w:panose1 w:val="0201060900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CB5A9"/>
    <w:rsid w:val="0FF658CA"/>
    <w:rsid w:val="2D158269"/>
    <w:rsid w:val="2DDAE9B8"/>
    <w:rsid w:val="2FDA206F"/>
    <w:rsid w:val="3FAC8325"/>
    <w:rsid w:val="3FACB5A9"/>
    <w:rsid w:val="3FBF8F6C"/>
    <w:rsid w:val="465B361F"/>
    <w:rsid w:val="50FFC5BF"/>
    <w:rsid w:val="57AF900D"/>
    <w:rsid w:val="62FB1B4B"/>
    <w:rsid w:val="67FC7BC1"/>
    <w:rsid w:val="6DFF709B"/>
    <w:rsid w:val="7373C69F"/>
    <w:rsid w:val="73B4C065"/>
    <w:rsid w:val="77F991A2"/>
    <w:rsid w:val="7CEF8FAD"/>
    <w:rsid w:val="7E7F4A27"/>
    <w:rsid w:val="7ED97D7E"/>
    <w:rsid w:val="7EFD3D73"/>
    <w:rsid w:val="9CB47608"/>
    <w:rsid w:val="A2FDB24C"/>
    <w:rsid w:val="A6DFED28"/>
    <w:rsid w:val="BFFA97B1"/>
    <w:rsid w:val="BFFFDE75"/>
    <w:rsid w:val="E9FD5E63"/>
    <w:rsid w:val="EEEDAE90"/>
    <w:rsid w:val="F3FB9771"/>
    <w:rsid w:val="FCFD39DC"/>
    <w:rsid w:val="FE0F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p0"/>
    <w:basedOn w:val="1"/>
    <w:qFormat/>
    <w:uiPriority w:val="0"/>
    <w:pPr>
      <w:widowControl/>
    </w:pPr>
    <w:rPr>
      <w:rFonts w:hint="eastAsia"/>
    </w:rPr>
  </w:style>
  <w:style w:type="paragraph" w:customStyle="1" w:styleId="9">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2025-07-12T06:58:00Z</dcterms:created>
  <dc:creator>刘毅</dc:creator>
  <cp:lastModifiedBy>刘毅</cp:lastModifiedBy>
  <cp:lastPrinted>2025-07-13T00:43:00Z</cp:lastPrinted>
  <dcterms:modified xsi:type="dcterms:W3CDTF">2025-07-16T17:01:40Z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F704CB4312896833746A776838A0AA3B</vt:lpwstr>
  </property>
</Properties>
</file>