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bookmarkStart w:id="1" w:name="_GoBack"/>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63</w:t>
      </w:r>
      <w:r>
        <w:rPr>
          <w:rFonts w:hint="eastAsia" w:ascii="仿宋_GB2312" w:hAnsi="Times New Roman" w:eastAsia="仿宋_GB2312" w:cs="Times New Roman"/>
          <w:color w:val="000000"/>
          <w:spacing w:val="12"/>
          <w:sz w:val="28"/>
        </w:rPr>
        <w:t>号</w:t>
      </w:r>
      <w:bookmarkEnd w:id="1"/>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C+1ktYAAAAIAQAADwAAAAAAAAABACAAAAA4AAAAZHJzL2Rvd25yZXYueG1s&#10;UEsBAhQAFAAAAAgAh07iQCiR+N7kAQAAqgMAAA4AAAAAAAAAAQAgAAAAOwEAAGRycy9lMm9Eb2Mu&#10;eG1sUEsFBgAAAAAGAAYAWQEAAJEFAAAAAA==&#10;">
                <v:fill on="f" focussize="0,0"/>
                <v:stroke weight="1pt" color="#FF0000" joinstyle="round"/>
                <v:imagedata o:title=""/>
                <o:lock v:ext="edit" aspectratio="f"/>
              </v:line>
            </w:pict>
          </mc:Fallback>
        </mc:AlternateContent>
      </w:r>
    </w:p>
    <w:p>
      <w:pPr>
        <w:jc w:val="center"/>
        <w:rPr>
          <w:rFonts w:hint="eastAsia"/>
          <w:sz w:val="28"/>
          <w:szCs w:val="28"/>
        </w:rPr>
      </w:pPr>
    </w:p>
    <w:p>
      <w:pPr>
        <w:pStyle w:val="4"/>
        <w:widowControl/>
        <w:pBdr>
          <w:bottom w:val="none" w:color="auto" w:sz="0" w:space="0"/>
        </w:pBdr>
        <w:adjustRightInd w:val="0"/>
        <w:snapToGrid w:val="0"/>
        <w:spacing w:beforeLines="0" w:afterLines="0" w:line="240" w:lineRule="auto"/>
        <w:jc w:val="center"/>
        <w:outlineLvl w:val="0"/>
        <w:rPr>
          <w:rFonts w:hint="default" w:ascii="方正小标宋简体" w:hAnsi="方正小标宋简体" w:eastAsia="方正小标宋简体"/>
          <w:kern w:val="0"/>
          <w:sz w:val="44"/>
          <w:lang w:val="en-US" w:eastAsia="zh-CN"/>
        </w:rPr>
      </w:pPr>
      <w:bookmarkStart w:id="0" w:name="quanwen"/>
      <w:r>
        <w:rPr>
          <w:rFonts w:hint="eastAsia" w:ascii="方正小标宋简体" w:hAnsi="方正小标宋简体" w:eastAsia="方正小标宋简体"/>
          <w:spacing w:val="-6"/>
          <w:kern w:val="0"/>
          <w:sz w:val="44"/>
          <w:lang w:val="en-US" w:eastAsia="zh-CN"/>
        </w:rPr>
        <w:t>关于对中审众环会计师事务所（特殊普通合伙）、</w:t>
      </w:r>
      <w:r>
        <w:rPr>
          <w:rFonts w:hint="eastAsia" w:ascii="方正小标宋简体" w:hAnsi="方正小标宋简体" w:eastAsia="方正小标宋简体" w:cs="Times New Roman"/>
          <w:color w:val="000000"/>
          <w:spacing w:val="0"/>
          <w:kern w:val="0"/>
          <w:sz w:val="44"/>
          <w:lang w:eastAsia="zh-CN"/>
        </w:rPr>
        <w:t>王兵、潘桂权</w:t>
      </w:r>
      <w:r>
        <w:rPr>
          <w:rFonts w:hint="eastAsia" w:ascii="方正小标宋简体" w:hAnsi="方正小标宋简体" w:eastAsia="方正小标宋简体" w:cs="Times New Roman"/>
          <w:kern w:val="0"/>
          <w:sz w:val="44"/>
          <w:lang w:val="en-US" w:eastAsia="zh-CN"/>
        </w:rPr>
        <w:t>采取</w:t>
      </w:r>
      <w:r>
        <w:rPr>
          <w:rFonts w:hint="eastAsia" w:ascii="方正小标宋简体" w:hAnsi="方正小标宋简体" w:eastAsia="方正小标宋简体"/>
          <w:kern w:val="0"/>
          <w:sz w:val="44"/>
          <w:lang w:val="en-US" w:eastAsia="zh-CN"/>
        </w:rPr>
        <w:t>监管谈话措施的决定</w:t>
      </w:r>
    </w:p>
    <w:p>
      <w:pPr>
        <w:adjustRightInd w:val="0"/>
        <w:snapToGrid w:val="0"/>
        <w:spacing w:beforeLines="0" w:afterLines="0" w:line="240" w:lineRule="auto"/>
        <w:rPr>
          <w:rFonts w:hint="eastAsia" w:ascii="方正小标宋简体" w:hAnsi="方正小标宋简体" w:eastAsia="方正小标宋简体" w:cs="方正小标宋简体"/>
          <w:spacing w:val="8"/>
          <w:kern w:val="0"/>
          <w:sz w:val="24"/>
          <w:szCs w:val="24"/>
        </w:rPr>
      </w:pPr>
    </w:p>
    <w:p>
      <w:pPr>
        <w:widowControl w:val="0"/>
        <w:wordWrap/>
        <w:overflowPunct w:val="0"/>
        <w:adjustRightInd w:val="0"/>
        <w:snapToGrid w:val="0"/>
        <w:spacing w:before="0" w:beforeLines="0" w:after="0" w:afterLines="0" w:line="324" w:lineRule="auto"/>
        <w:ind w:left="0" w:leftChars="0" w:right="0" w:firstLine="0" w:firstLineChars="0"/>
        <w:jc w:val="both"/>
        <w:textAlignment w:val="auto"/>
        <w:outlineLvl w:val="9"/>
        <w:rPr>
          <w:rFonts w:hint="eastAsia" w:ascii="仿宋_GB2312" w:hAnsi="仿宋_GB2312" w:eastAsia="仿宋_GB2312"/>
          <w:color w:val="000000"/>
          <w:spacing w:val="0"/>
          <w:sz w:val="32"/>
          <w:highlight w:val="none"/>
          <w:lang w:val="en-US" w:eastAsia="zh-CN"/>
        </w:rPr>
      </w:pPr>
      <w:r>
        <w:rPr>
          <w:rFonts w:hint="eastAsia" w:ascii="仿宋_GB2312" w:hAnsi="仿宋_GB2312" w:eastAsia="仿宋_GB2312"/>
          <w:color w:val="000000"/>
          <w:spacing w:val="0"/>
          <w:sz w:val="32"/>
          <w:highlight w:val="none"/>
          <w:lang w:val="en-US" w:eastAsia="zh-CN"/>
        </w:rPr>
        <w:t>中审众环会计师事务所</w:t>
      </w:r>
      <w:r>
        <w:rPr>
          <w:rFonts w:hint="eastAsia" w:ascii="仿宋_GB2312" w:hAnsi="仿宋_GB2312" w:eastAsia="仿宋_GB2312"/>
          <w:color w:val="000000"/>
          <w:spacing w:val="0"/>
          <w:sz w:val="32"/>
          <w:highlight w:val="none"/>
          <w:lang w:eastAsia="zh-CN"/>
        </w:rPr>
        <w:t>（特殊普通合伙）</w:t>
      </w:r>
      <w:r>
        <w:rPr>
          <w:rFonts w:hint="eastAsia" w:ascii="仿宋_GB2312" w:hAnsi="仿宋_GB2312" w:eastAsia="仿宋_GB2312"/>
          <w:color w:val="000000"/>
          <w:spacing w:val="0"/>
          <w:sz w:val="32"/>
          <w:highlight w:val="none"/>
          <w:lang w:val="en-US" w:eastAsia="zh-CN"/>
        </w:rPr>
        <w:t>、</w:t>
      </w:r>
      <w:r>
        <w:rPr>
          <w:rFonts w:hint="eastAsia" w:ascii="仿宋_GB2312" w:hAnsi="仿宋_GB2312" w:eastAsia="仿宋_GB2312"/>
          <w:color w:val="000000"/>
          <w:spacing w:val="0"/>
          <w:kern w:val="0"/>
          <w:sz w:val="32"/>
          <w:lang w:eastAsia="zh-CN"/>
        </w:rPr>
        <w:t>王兵、潘桂权</w:t>
      </w:r>
      <w:r>
        <w:rPr>
          <w:rFonts w:hint="eastAsia" w:ascii="仿宋_GB2312" w:hAnsi="仿宋_GB2312" w:eastAsia="仿宋_GB2312"/>
          <w:color w:val="000000"/>
          <w:spacing w:val="0"/>
          <w:sz w:val="32"/>
          <w:highlight w:val="none"/>
          <w:lang w:val="en-US" w:eastAsia="zh-CN"/>
        </w:rPr>
        <w:t>：</w:t>
      </w:r>
    </w:p>
    <w:p>
      <w:pPr>
        <w:widowControl w:val="0"/>
        <w:wordWrap/>
        <w:overflowPunct w:val="0"/>
        <w:adjustRightInd w:val="0"/>
        <w:snapToGrid w:val="0"/>
        <w:spacing w:before="0" w:beforeLines="0" w:after="0" w:afterLines="0" w:line="324" w:lineRule="auto"/>
        <w:ind w:left="0" w:leftChars="0" w:right="0" w:firstLine="0" w:firstLineChars="0"/>
        <w:jc w:val="both"/>
        <w:textAlignment w:val="auto"/>
        <w:outlineLvl w:val="9"/>
        <w:rPr>
          <w:rFonts w:hint="default" w:ascii="仿宋_GB2312" w:hAnsi="仿宋_GB2312" w:eastAsia="仿宋_GB2312"/>
          <w:color w:val="000000"/>
          <w:spacing w:val="0"/>
          <w:kern w:val="0"/>
          <w:sz w:val="32"/>
        </w:rPr>
      </w:pPr>
      <w:r>
        <w:rPr>
          <w:rFonts w:hint="eastAsia" w:ascii="仿宋_GB2312" w:hAnsi="仿宋_GB2312" w:eastAsia="仿宋_GB2312"/>
          <w:color w:val="000000"/>
          <w:spacing w:val="0"/>
          <w:sz w:val="32"/>
          <w:highlight w:val="none"/>
          <w:lang w:val="en-US" w:eastAsia="zh-CN"/>
        </w:rPr>
        <w:t xml:space="preserve">    </w:t>
      </w:r>
      <w:r>
        <w:rPr>
          <w:rFonts w:hint="eastAsia" w:ascii="仿宋_GB2312" w:hAnsi="仿宋_GB2312" w:eastAsia="仿宋_GB2312"/>
          <w:color w:val="000000"/>
          <w:spacing w:val="0"/>
          <w:kern w:val="0"/>
          <w:sz w:val="32"/>
          <w:highlight w:val="none"/>
          <w:lang w:eastAsia="zh-CN"/>
        </w:rPr>
        <w:t>根据《上市公司现场检查规则》（证监会公告〔2022〕21号）等规定，我局对湛江国联水产开发股份有限公司（以下简称国联水产或公司）进行了现场检查</w:t>
      </w:r>
      <w:r>
        <w:rPr>
          <w:rFonts w:hint="eastAsia" w:ascii="仿宋_GB2312" w:hAnsi="仿宋_GB2312" w:eastAsia="仿宋_GB2312"/>
          <w:color w:val="000000"/>
          <w:spacing w:val="0"/>
          <w:kern w:val="0"/>
          <w:sz w:val="32"/>
        </w:rPr>
        <w:t>，并对</w:t>
      </w:r>
      <w:r>
        <w:rPr>
          <w:rFonts w:hint="eastAsia" w:ascii="仿宋_GB2312" w:hAnsi="仿宋_GB2312" w:eastAsia="仿宋_GB2312"/>
          <w:color w:val="000000"/>
          <w:spacing w:val="0"/>
          <w:sz w:val="32"/>
          <w:highlight w:val="none"/>
          <w:lang w:val="en-US" w:eastAsia="zh-CN"/>
        </w:rPr>
        <w:t>中审众环会计师事务所</w:t>
      </w:r>
      <w:r>
        <w:rPr>
          <w:rFonts w:hint="eastAsia" w:ascii="仿宋_GB2312" w:hAnsi="仿宋_GB2312" w:eastAsia="仿宋_GB2312"/>
          <w:color w:val="000000"/>
          <w:spacing w:val="0"/>
          <w:sz w:val="32"/>
          <w:highlight w:val="none"/>
          <w:lang w:eastAsia="zh-CN"/>
        </w:rPr>
        <w:t>（特殊普通合伙，以下简称中审众环所）</w:t>
      </w:r>
      <w:r>
        <w:rPr>
          <w:rFonts w:hint="eastAsia" w:ascii="仿宋_GB2312" w:hAnsi="仿宋_GB2312" w:eastAsia="仿宋_GB2312"/>
          <w:color w:val="000000"/>
          <w:spacing w:val="0"/>
          <w:kern w:val="0"/>
          <w:sz w:val="32"/>
        </w:rPr>
        <w:t>负责的</w:t>
      </w:r>
      <w:r>
        <w:rPr>
          <w:rFonts w:hint="eastAsia" w:ascii="仿宋_GB2312" w:hAnsi="仿宋_GB2312" w:eastAsia="仿宋_GB2312"/>
          <w:color w:val="000000"/>
          <w:spacing w:val="0"/>
          <w:kern w:val="0"/>
          <w:sz w:val="32"/>
          <w:lang w:eastAsia="zh-CN"/>
        </w:rPr>
        <w:t>国联水产</w:t>
      </w:r>
      <w:r>
        <w:rPr>
          <w:rFonts w:hint="eastAsia" w:ascii="仿宋_GB2312" w:hAnsi="仿宋_GB2312" w:eastAsia="仿宋_GB2312"/>
          <w:color w:val="000000"/>
          <w:spacing w:val="0"/>
          <w:kern w:val="0"/>
          <w:sz w:val="32"/>
          <w:lang w:val="en-US" w:eastAsia="zh-CN"/>
        </w:rPr>
        <w:t>2023年</w:t>
      </w:r>
      <w:r>
        <w:rPr>
          <w:rFonts w:hint="eastAsia" w:ascii="仿宋_GB2312" w:hAnsi="仿宋_GB2312" w:eastAsia="仿宋_GB2312"/>
          <w:color w:val="000000"/>
          <w:spacing w:val="0"/>
          <w:kern w:val="0"/>
          <w:sz w:val="32"/>
          <w:lang w:eastAsia="zh-CN"/>
        </w:rPr>
        <w:t>年报</w:t>
      </w:r>
      <w:r>
        <w:rPr>
          <w:rFonts w:hint="eastAsia" w:ascii="仿宋_GB2312" w:hAnsi="仿宋_GB2312" w:eastAsia="仿宋_GB2312"/>
          <w:color w:val="000000"/>
          <w:spacing w:val="0"/>
          <w:kern w:val="0"/>
          <w:sz w:val="32"/>
        </w:rPr>
        <w:t>审计工作进行了延伸检查。</w:t>
      </w:r>
      <w:r>
        <w:rPr>
          <w:rFonts w:hint="eastAsia" w:ascii="仿宋_GB2312" w:hAnsi="仿宋_GB2312" w:eastAsia="仿宋_GB2312"/>
          <w:color w:val="000000"/>
          <w:spacing w:val="0"/>
          <w:kern w:val="0"/>
          <w:sz w:val="32"/>
          <w:lang w:eastAsia="zh-CN"/>
        </w:rPr>
        <w:t>经查，中审众环所在审计执业中存在以下问题</w:t>
      </w:r>
      <w:r>
        <w:rPr>
          <w:rFonts w:hint="eastAsia" w:ascii="仿宋_GB2312" w:hAnsi="仿宋_GB2312" w:eastAsia="仿宋_GB2312"/>
          <w:color w:val="000000"/>
          <w:spacing w:val="0"/>
          <w:kern w:val="0"/>
          <w:sz w:val="32"/>
        </w:rPr>
        <w:t>：</w:t>
      </w:r>
    </w:p>
    <w:p>
      <w:pPr>
        <w:overflowPunct w:val="0"/>
        <w:adjustRightInd w:val="0"/>
        <w:snapToGrid w:val="0"/>
        <w:spacing w:beforeLines="0" w:afterLines="0" w:line="324" w:lineRule="auto"/>
        <w:ind w:firstLine="640" w:firstLineChars="200"/>
        <w:outlineLvl w:val="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一、控制测试程序执行不到位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24" w:lineRule="auto"/>
        <w:ind w:right="0" w:rightChars="0" w:firstLine="642" w:firstLineChars="200"/>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一是存货控制测试程序执行不到位。</w:t>
      </w:r>
      <w:r>
        <w:rPr>
          <w:rFonts w:hint="eastAsia" w:ascii="仿宋_GB2312" w:hAnsi="仿宋_GB2312" w:eastAsia="仿宋_GB2312" w:cs="仿宋_GB2312"/>
          <w:sz w:val="32"/>
          <w:szCs w:val="32"/>
          <w:lang w:val="en-US" w:eastAsia="zh-CN"/>
        </w:rPr>
        <w:t>中审众环所在对公司存货库龄测试中，主要检查了入库时间、入库数量、出库时间、实际库龄等信息，并未对出库货物是否为库存货物中货龄最长暨是否采用先进先出法的关键信息对比，在对国联水产的管理建议书中也提到“存货出入库管理难以严格按先进先出执行</w:t>
      </w:r>
      <w:r>
        <w:rPr>
          <w:rFonts w:hint="default" w:ascii="仿宋_GB2312" w:hAnsi="仿宋_GB2312" w:eastAsia="仿宋_GB2312" w:cs="仿宋_GB2312"/>
          <w:sz w:val="32"/>
          <w:szCs w:val="32"/>
          <w:lang w:val="en-US" w:eastAsia="zh-CN"/>
        </w:rPr>
        <w:t>”，但在控制测试中</w:t>
      </w:r>
      <w:r>
        <w:rPr>
          <w:rFonts w:hint="eastAsia" w:ascii="仿宋_GB2312" w:hAnsi="仿宋_GB2312" w:eastAsia="仿宋_GB2312" w:cs="仿宋_GB2312"/>
          <w:sz w:val="32"/>
          <w:szCs w:val="32"/>
          <w:lang w:val="en-US" w:eastAsia="zh-CN"/>
        </w:rPr>
        <w:t>仍然得出“控制过程中执行有效，未见其他异常情况”的结论。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24" w:lineRule="auto"/>
        <w:ind w:right="0" w:rightChars="0" w:firstLine="64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二是信息系统控制测试程序不到位。</w:t>
      </w:r>
      <w:r>
        <w:rPr>
          <w:rFonts w:hint="eastAsia" w:ascii="仿宋_GB2312" w:hAnsi="仿宋_GB2312" w:eastAsia="仿宋_GB2312" w:cs="仿宋_GB2312"/>
          <w:sz w:val="32"/>
          <w:szCs w:val="32"/>
          <w:lang w:val="en-US" w:eastAsia="zh-CN"/>
        </w:rPr>
        <w:t>中审众环所在风险评估时，将新信息系统（</w:t>
      </w:r>
      <w:r>
        <w:rPr>
          <w:rFonts w:hint="default" w:ascii="仿宋_GB2312" w:hAnsi="仿宋_GB2312" w:eastAsia="仿宋_GB2312" w:cs="仿宋_GB2312"/>
          <w:sz w:val="32"/>
          <w:szCs w:val="32"/>
          <w:lang w:val="en-US" w:eastAsia="zh-CN"/>
        </w:rPr>
        <w:t>SAP</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认定为</w:t>
      </w:r>
      <w:r>
        <w:rPr>
          <w:rFonts w:hint="eastAsia" w:ascii="仿宋_GB2312" w:hAnsi="仿宋_GB2312" w:eastAsia="仿宋_GB2312" w:cs="仿宋_GB2312"/>
          <w:sz w:val="32"/>
          <w:szCs w:val="32"/>
          <w:lang w:val="en-US" w:eastAsia="zh-CN"/>
        </w:rPr>
        <w:t>重大错报风险领域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拟执行的审计程序包括“对</w:t>
      </w:r>
      <w:r>
        <w:rPr>
          <w:rFonts w:hint="default" w:ascii="仿宋_GB2312" w:hAnsi="仿宋_GB2312" w:eastAsia="仿宋_GB2312" w:cs="仿宋_GB2312"/>
          <w:sz w:val="32"/>
          <w:szCs w:val="32"/>
          <w:lang w:val="en-US" w:eastAsia="zh-CN"/>
        </w:rPr>
        <w:t>SAP</w:t>
      </w:r>
      <w:r>
        <w:rPr>
          <w:rFonts w:hint="eastAsia" w:ascii="仿宋_GB2312" w:hAnsi="仿宋_GB2312" w:eastAsia="仿宋_GB2312" w:cs="仿宋_GB2312"/>
          <w:sz w:val="32"/>
          <w:szCs w:val="32"/>
          <w:lang w:val="en-US" w:eastAsia="zh-CN"/>
        </w:rPr>
        <w:t>系统进行信息技术一般性控制测试汇总</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但仅执行了询问信息中心总监、获取《信息案例管理制度》和2023年1-12月系统账号申请审批记录的程序，就得出未发现异常的结论。实际上，国联水产</w:t>
      </w:r>
      <w:r>
        <w:rPr>
          <w:rFonts w:hint="default" w:ascii="仿宋_GB2312" w:hAnsi="仿宋_GB2312" w:eastAsia="仿宋_GB2312" w:cs="仿宋_GB2312"/>
          <w:sz w:val="32"/>
          <w:szCs w:val="32"/>
          <w:lang w:val="en-US" w:eastAsia="zh-CN"/>
        </w:rPr>
        <w:t>SAP</w:t>
      </w:r>
      <w:r>
        <w:rPr>
          <w:rFonts w:hint="eastAsia" w:ascii="仿宋_GB2312" w:hAnsi="仿宋_GB2312" w:eastAsia="仿宋_GB2312" w:cs="仿宋_GB2312"/>
          <w:sz w:val="32"/>
          <w:szCs w:val="32"/>
          <w:lang w:val="en-US" w:eastAsia="zh-CN"/>
        </w:rPr>
        <w:t>系统存在账号共享且无法明确共享账号的所有实际持有人、非实名账户，部分用户不恰当地拥有与岗位职责不符的系统权限、普通用户持有通用维护等</w:t>
      </w:r>
      <w:r>
        <w:rPr>
          <w:rFonts w:hint="default" w:ascii="仿宋_GB2312" w:hAnsi="仿宋_GB2312" w:eastAsia="仿宋_GB2312" w:cs="仿宋_GB2312"/>
          <w:sz w:val="32"/>
          <w:szCs w:val="32"/>
          <w:lang w:val="en-US" w:eastAsia="zh-CN"/>
        </w:rPr>
        <w:t>IT</w:t>
      </w:r>
      <w:r>
        <w:rPr>
          <w:rFonts w:hint="eastAsia" w:ascii="仿宋_GB2312" w:hAnsi="仿宋_GB2312" w:eastAsia="仿宋_GB2312" w:cs="仿宋_GB2312"/>
          <w:sz w:val="32"/>
          <w:szCs w:val="32"/>
          <w:lang w:val="en-US" w:eastAsia="zh-CN"/>
        </w:rPr>
        <w:t>专属权限等系统权限问题。中审众环所对信息系统执行控制测试程序时未设计和执行恰当的审计程序，导致未能发现上述问题。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24" w:lineRule="auto"/>
        <w:ind w:right="0" w:rightChars="0" w:firstLine="640" w:firstLineChars="200"/>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上述情形不符合《中国注册会计师审计准则第1231号——针对评估的重大错报风险采取的应对措施》第十条、《中国注册会计师审计准则第1211号——重大错报风险的识别和评估》第二十六条、</w:t>
      </w:r>
      <w:r>
        <w:rPr>
          <w:rFonts w:hint="eastAsia" w:ascii="仿宋_GB2312" w:hAnsi="仿宋_GB2312" w:eastAsia="仿宋_GB2312" w:cs="仿宋_GB2312"/>
          <w:color w:val="000000"/>
          <w:kern w:val="0"/>
          <w:sz w:val="32"/>
          <w:szCs w:val="32"/>
        </w:rPr>
        <w:t>《中国注册会计师审计准则第1301号——审计证据》第十条</w:t>
      </w:r>
      <w:r>
        <w:rPr>
          <w:rFonts w:hint="eastAsia" w:ascii="仿宋_GB2312" w:hAnsi="仿宋_GB2312" w:eastAsia="仿宋_GB2312" w:cs="仿宋_GB2312"/>
          <w:color w:val="000000"/>
          <w:kern w:val="0"/>
          <w:sz w:val="32"/>
          <w:szCs w:val="32"/>
          <w:lang w:eastAsia="zh-CN"/>
        </w:rPr>
        <w:t>的规定。</w:t>
      </w:r>
    </w:p>
    <w:p>
      <w:pPr>
        <w:overflowPunct w:val="0"/>
        <w:adjustRightInd w:val="0"/>
        <w:snapToGrid w:val="0"/>
        <w:spacing w:beforeLines="0" w:afterLines="0" w:line="324" w:lineRule="auto"/>
        <w:ind w:firstLine="640" w:firstLineChars="200"/>
        <w:outlineLvl w:val="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二、存货截止性审计程序执行不到位</w:t>
      </w:r>
    </w:p>
    <w:p>
      <w:pPr>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24" w:lineRule="auto"/>
        <w:ind w:left="0" w:leftChars="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中审众环所</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日集中对国联水产的存货执行了监盘程序，盘点日和资产负债表日之间存货收发超过</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亿元，占全年收入约</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。但中审众环所在对国联水产</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年年报进行审计时，在资产负债表日截止性测试程序仅抽取并验证资产负债表日从账到表、从表到账各</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条记录，抽取金额占比较低，也未记录抽样及控制过程。上述情形不符合</w:t>
      </w:r>
      <w:r>
        <w:rPr>
          <w:rFonts w:hint="eastAsia" w:ascii="仿宋_GB2312" w:hAnsi="仿宋_GB2312" w:eastAsia="仿宋_GB2312" w:cs="仿宋_GB2312"/>
          <w:color w:val="000000"/>
          <w:kern w:val="0"/>
          <w:sz w:val="32"/>
          <w:szCs w:val="32"/>
        </w:rPr>
        <w:t>《中国注册会计师审计准则第1301号——审计证据》第十条</w:t>
      </w:r>
      <w:r>
        <w:rPr>
          <w:rFonts w:hint="eastAsia" w:ascii="仿宋_GB2312" w:hAnsi="仿宋_GB2312" w:eastAsia="仿宋_GB2312" w:cs="仿宋_GB2312"/>
          <w:color w:val="000000"/>
          <w:kern w:val="0"/>
          <w:sz w:val="32"/>
          <w:szCs w:val="32"/>
          <w:lang w:eastAsia="zh-CN"/>
        </w:rPr>
        <w:t>的规定。</w:t>
      </w:r>
    </w:p>
    <w:p>
      <w:pPr>
        <w:overflowPunct w:val="0"/>
        <w:adjustRightInd w:val="0"/>
        <w:snapToGrid w:val="0"/>
        <w:spacing w:beforeLines="0" w:afterLines="0" w:line="324" w:lineRule="auto"/>
        <w:ind w:firstLine="640" w:firstLineChars="200"/>
        <w:outlineLvl w:val="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三、境外收入审计程序执行不到位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24" w:lineRule="auto"/>
        <w:ind w:right="0" w:rightChars="0" w:firstLine="640" w:firstLineChars="200"/>
        <w:textAlignment w:val="auto"/>
        <w:outlineLvl w:val="9"/>
        <w:rPr>
          <w:rFonts w:hint="default"/>
          <w:lang w:eastAsia="zh-CN"/>
        </w:rPr>
      </w:pPr>
      <w:r>
        <w:rPr>
          <w:rFonts w:hint="eastAsia" w:ascii="仿宋_GB2312" w:hAnsi="仿宋_GB2312" w:eastAsia="仿宋_GB2312" w:cs="仿宋_GB2312"/>
          <w:sz w:val="32"/>
          <w:szCs w:val="32"/>
          <w:lang w:val="en-US" w:eastAsia="zh-CN"/>
        </w:rPr>
        <w:t>中审众环所境外客户发函中未回函以及回函不符涉及的收入金额约</w:t>
      </w:r>
      <w:r>
        <w:rPr>
          <w:rFonts w:hint="default" w:ascii="仿宋_GB2312" w:hAnsi="仿宋_GB2312" w:eastAsia="仿宋_GB2312" w:cs="仿宋_GB2312"/>
          <w:sz w:val="32"/>
          <w:szCs w:val="32"/>
          <w:lang w:val="en-US" w:eastAsia="zh-CN"/>
        </w:rPr>
        <w:t>6.87</w:t>
      </w:r>
      <w:r>
        <w:rPr>
          <w:rFonts w:hint="eastAsia" w:ascii="仿宋_GB2312" w:hAnsi="仿宋_GB2312" w:eastAsia="仿宋_GB2312" w:cs="仿宋_GB2312"/>
          <w:sz w:val="32"/>
          <w:szCs w:val="32"/>
          <w:lang w:val="en-US" w:eastAsia="zh-CN"/>
        </w:rPr>
        <w:t>亿元，其中未回函收入金额约</w:t>
      </w:r>
      <w:r>
        <w:rPr>
          <w:rFonts w:hint="default" w:ascii="仿宋_GB2312" w:hAnsi="仿宋_GB2312" w:eastAsia="仿宋_GB2312" w:cs="仿宋_GB2312"/>
          <w:sz w:val="32"/>
          <w:szCs w:val="32"/>
          <w:lang w:val="en-US" w:eastAsia="zh-CN"/>
        </w:rPr>
        <w:t>6.12</w:t>
      </w:r>
      <w:r>
        <w:rPr>
          <w:rFonts w:hint="eastAsia" w:ascii="仿宋_GB2312" w:hAnsi="仿宋_GB2312" w:eastAsia="仿宋_GB2312" w:cs="仿宋_GB2312"/>
          <w:sz w:val="32"/>
          <w:szCs w:val="32"/>
          <w:lang w:val="en-US" w:eastAsia="zh-CN"/>
        </w:rPr>
        <w:t>亿元，</w:t>
      </w:r>
      <w:r>
        <w:rPr>
          <w:rFonts w:hint="default" w:ascii="仿宋_GB2312" w:hAnsi="仿宋_GB2312" w:eastAsia="仿宋_GB2312" w:cs="仿宋_GB2312"/>
          <w:sz w:val="32"/>
          <w:szCs w:val="32"/>
          <w:lang w:val="en-US" w:eastAsia="zh-CN"/>
        </w:rPr>
        <w:t>未回函客户中包含前五大客户。中审众环所在对部分大额未回函客户执行替代程序时</w:t>
      </w:r>
      <w:r>
        <w:rPr>
          <w:rFonts w:hint="eastAsia" w:ascii="仿宋_GB2312" w:hAnsi="仿宋_GB2312" w:eastAsia="仿宋_GB2312" w:cs="仿宋_GB2312"/>
          <w:sz w:val="32"/>
          <w:szCs w:val="32"/>
          <w:lang w:val="en-US" w:eastAsia="zh-CN"/>
        </w:rPr>
        <w:t>执行不到位，如前五大客户</w:t>
      </w:r>
      <w:r>
        <w:rPr>
          <w:rFonts w:hint="default" w:ascii="仿宋_GB2312" w:hAnsi="仿宋_GB2312" w:eastAsia="仿宋_GB2312" w:cs="仿宋_GB2312"/>
          <w:sz w:val="32"/>
          <w:szCs w:val="32"/>
          <w:lang w:val="en-US" w:eastAsia="zh-CN"/>
        </w:rPr>
        <w:t>SYSCO MERCHANDISING &amp; SUPPLY</w:t>
      </w:r>
      <w:r>
        <w:rPr>
          <w:rFonts w:hint="eastAsia" w:ascii="仿宋_GB2312" w:hAnsi="仿宋_GB2312" w:eastAsia="仿宋_GB2312" w:cs="仿宋_GB2312"/>
          <w:sz w:val="32"/>
          <w:szCs w:val="32"/>
          <w:lang w:val="en-US" w:eastAsia="zh-CN"/>
        </w:rPr>
        <w:t>（销售金额</w:t>
      </w:r>
      <w:r>
        <w:rPr>
          <w:rFonts w:hint="default"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lang w:val="en-US" w:eastAsia="zh-CN"/>
        </w:rPr>
        <w:t>亿元）未回函，</w:t>
      </w:r>
      <w:r>
        <w:rPr>
          <w:rFonts w:hint="default" w:ascii="仿宋_GB2312" w:hAnsi="仿宋_GB2312" w:eastAsia="仿宋_GB2312" w:cs="仿宋_GB2312"/>
          <w:sz w:val="32"/>
          <w:szCs w:val="32"/>
          <w:lang w:val="en-US" w:eastAsia="zh-CN"/>
        </w:rPr>
        <w:t>但在执行替代程序时选取的</w:t>
      </w:r>
      <w:r>
        <w:rPr>
          <w:rFonts w:hint="eastAsia" w:ascii="仿宋_GB2312" w:hAnsi="仿宋_GB2312" w:eastAsia="仿宋_GB2312" w:cs="仿宋_GB2312"/>
          <w:sz w:val="32"/>
          <w:szCs w:val="32"/>
          <w:lang w:val="en-US" w:eastAsia="zh-CN"/>
        </w:rPr>
        <w:t>样本金额仅占应收账款余额的</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、收入发生额的</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上述情形不符合《中国注册会计师审计准则第1101号——注册会计师的总体目标和审</w:t>
      </w:r>
      <w:r>
        <w:rPr>
          <w:rFonts w:hint="eastAsia" w:ascii="仿宋_GB2312" w:hAnsi="仿宋_GB2312" w:eastAsia="仿宋_GB2312" w:cs="仿宋_GB2312"/>
          <w:color w:val="000000"/>
          <w:kern w:val="0"/>
          <w:sz w:val="32"/>
          <w:szCs w:val="32"/>
        </w:rPr>
        <w:t>计工作的基本要求》第二十八条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《中国注册会计师审计准则第1301号——审计证据》第十条</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规定。</w:t>
      </w:r>
    </w:p>
    <w:p>
      <w:pPr>
        <w:overflowPunct w:val="0"/>
        <w:adjustRightInd w:val="0"/>
        <w:snapToGrid w:val="0"/>
        <w:spacing w:beforeLines="0" w:afterLines="0" w:line="324" w:lineRule="auto"/>
        <w:ind w:firstLine="640" w:firstLineChars="200"/>
        <w:outlineLvl w:val="0"/>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四、固定资产审计执行不到位</w:t>
      </w:r>
    </w:p>
    <w:p>
      <w:pPr>
        <w:overflowPunct w:val="0"/>
        <w:adjustRightInd w:val="0"/>
        <w:snapToGrid w:val="0"/>
        <w:spacing w:beforeLines="0" w:afterLines="0" w:line="324"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中审众环所在审计时已关注到国联水产南三基地、琼州渔业等公司基本停止经营，公司将其大部分闲置的固定资产出租给第三方用于收取租金，租金无法覆盖固定资产年度折旧，在管理建议书中也提到相关情况</w:t>
      </w:r>
      <w:r>
        <w:rPr>
          <w:rFonts w:hint="default" w:ascii="仿宋_GB2312" w:hAnsi="仿宋_GB2312" w:eastAsia="仿宋_GB2312" w:cs="仿宋_GB2312"/>
          <w:sz w:val="32"/>
          <w:szCs w:val="32"/>
          <w:lang w:val="en-US" w:eastAsia="zh-CN"/>
        </w:rPr>
        <w:t>，但审计</w:t>
      </w:r>
      <w:r>
        <w:rPr>
          <w:rFonts w:hint="eastAsia" w:ascii="仿宋_GB2312" w:hAnsi="仿宋_GB2312" w:eastAsia="仿宋_GB2312" w:cs="仿宋_GB2312"/>
          <w:sz w:val="32"/>
          <w:szCs w:val="32"/>
          <w:lang w:val="en-US" w:eastAsia="zh-CN"/>
        </w:rPr>
        <w:t>过程中</w:t>
      </w:r>
      <w:r>
        <w:rPr>
          <w:rFonts w:hint="default"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val="en-US" w:eastAsia="zh-CN"/>
        </w:rPr>
        <w:t>充分</w:t>
      </w:r>
      <w:r>
        <w:rPr>
          <w:rFonts w:hint="default" w:ascii="仿宋_GB2312" w:hAnsi="仿宋_GB2312" w:eastAsia="仿宋_GB2312" w:cs="仿宋_GB2312"/>
          <w:sz w:val="32"/>
          <w:szCs w:val="32"/>
          <w:lang w:val="en-US" w:eastAsia="zh-CN"/>
        </w:rPr>
        <w:t>考虑相关资产闲置对固定资产的影响，未对这部分闲置资产是否存在减值设计并执行恰当的审计程序。</w:t>
      </w:r>
      <w:r>
        <w:rPr>
          <w:rFonts w:hint="eastAsia" w:ascii="仿宋_GB2312" w:hAnsi="仿宋_GB2312" w:eastAsia="仿宋_GB2312" w:cs="仿宋_GB2312"/>
          <w:sz w:val="32"/>
          <w:szCs w:val="32"/>
          <w:lang w:val="en-US" w:eastAsia="zh-CN"/>
        </w:rPr>
        <w:t>上述情形不符合</w:t>
      </w:r>
      <w:r>
        <w:rPr>
          <w:rFonts w:hint="eastAsia" w:ascii="仿宋_GB2312" w:hAnsi="仿宋_GB2312" w:eastAsia="仿宋_GB2312" w:cs="仿宋_GB2312"/>
          <w:color w:val="000000"/>
          <w:kern w:val="0"/>
          <w:sz w:val="32"/>
          <w:szCs w:val="32"/>
        </w:rPr>
        <w:t>《中国注册会计师审计准则第1101号——注册会计师的总体目标和审计工作的基本要求》第二十八条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《中国注册会计师审计准则第1301号——审计证据》第十条</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规定。</w:t>
      </w:r>
    </w:p>
    <w:p>
      <w:pPr>
        <w:widowControl w:val="0"/>
        <w:numPr>
          <w:ilvl w:val="-1"/>
          <w:numId w:val="0"/>
        </w:numPr>
        <w:wordWrap/>
        <w:overflowPunct w:val="0"/>
        <w:adjustRightInd w:val="0"/>
        <w:snapToGrid w:val="0"/>
        <w:spacing w:beforeLines="0" w:afterLines="0" w:line="324" w:lineRule="auto"/>
        <w:ind w:right="0" w:firstLine="640" w:firstLineChars="200"/>
        <w:jc w:val="left"/>
        <w:textAlignment w:val="auto"/>
        <w:outlineLvl w:val="9"/>
        <w:rPr>
          <w:rFonts w:hint="eastAsia" w:ascii="仿宋_GB2312" w:hAnsi="仿宋_GB2312" w:eastAsia="仿宋_GB2312" w:cs="仿宋_GB2312"/>
          <w:color w:val="000000"/>
          <w:spacing w:val="0"/>
          <w:kern w:val="0"/>
          <w:sz w:val="32"/>
          <w:highlight w:val="none"/>
          <w:lang w:eastAsia="zh-CN"/>
        </w:rPr>
      </w:pPr>
      <w:r>
        <w:rPr>
          <w:rFonts w:hint="eastAsia" w:ascii="仿宋_GB2312" w:hAnsi="仿宋_GB2312" w:eastAsia="仿宋_GB2312"/>
          <w:color w:val="000000"/>
          <w:spacing w:val="0"/>
          <w:kern w:val="0"/>
          <w:sz w:val="32"/>
          <w:highlight w:val="none"/>
          <w:lang w:eastAsia="zh-CN"/>
        </w:rPr>
        <w:t>中审众环所的</w:t>
      </w:r>
      <w:r>
        <w:rPr>
          <w:rFonts w:hint="eastAsia" w:ascii="仿宋_GB2312" w:hAnsi="仿宋_GB2312" w:eastAsia="仿宋_GB2312" w:cs="仿宋_GB2312"/>
          <w:color w:val="000000"/>
          <w:kern w:val="0"/>
          <w:sz w:val="32"/>
          <w:szCs w:val="32"/>
          <w:highlight w:val="none"/>
        </w:rPr>
        <w:t>上述行为不符合《中国注册会计师执业准则》的有关要求，违反了《上市公司信息披露管理办法》</w:t>
      </w:r>
      <w:r>
        <w:rPr>
          <w:rFonts w:hint="eastAsia" w:ascii="仿宋_GB2312" w:hAnsi="仿宋_GB2312" w:eastAsia="仿宋_GB2312" w:cs="仿宋_GB2312"/>
          <w:color w:val="auto"/>
          <w:kern w:val="0"/>
          <w:sz w:val="32"/>
          <w:szCs w:val="32"/>
          <w:highlight w:val="none"/>
        </w:rPr>
        <w:t>（证监会令第</w:t>
      </w:r>
      <w:r>
        <w:rPr>
          <w:rFonts w:hint="eastAsia" w:ascii="仿宋_GB2312" w:hAnsi="仿宋_GB2312" w:eastAsia="仿宋_GB2312" w:cs="仿宋_GB2312"/>
          <w:color w:val="auto"/>
          <w:kern w:val="0"/>
          <w:sz w:val="32"/>
          <w:szCs w:val="32"/>
          <w:highlight w:val="none"/>
          <w:lang w:val="en-US" w:eastAsia="zh-CN"/>
        </w:rPr>
        <w:t>182</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color w:val="auto"/>
          <w:kern w:val="0"/>
          <w:sz w:val="32"/>
          <w:szCs w:val="32"/>
          <w:highlight w:val="none"/>
          <w:lang w:eastAsia="zh-CN"/>
        </w:rPr>
        <w:t>，下同</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000000"/>
          <w:kern w:val="0"/>
          <w:sz w:val="32"/>
          <w:szCs w:val="32"/>
          <w:highlight w:val="none"/>
        </w:rPr>
        <w:t>第</w:t>
      </w:r>
      <w:r>
        <w:rPr>
          <w:rFonts w:hint="eastAsia" w:ascii="仿宋_GB2312" w:hAnsi="仿宋_GB2312" w:eastAsia="仿宋_GB2312" w:cs="仿宋_GB2312"/>
          <w:color w:val="000000"/>
          <w:kern w:val="0"/>
          <w:sz w:val="32"/>
          <w:szCs w:val="32"/>
          <w:highlight w:val="none"/>
          <w:lang w:eastAsia="zh-CN"/>
        </w:rPr>
        <w:t>四十五</w:t>
      </w:r>
      <w:r>
        <w:rPr>
          <w:rFonts w:hint="eastAsia" w:ascii="仿宋_GB2312" w:hAnsi="仿宋_GB2312" w:eastAsia="仿宋_GB2312" w:cs="仿宋_GB2312"/>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eastAsia="zh-CN"/>
        </w:rPr>
        <w:t>第一款</w:t>
      </w:r>
      <w:r>
        <w:rPr>
          <w:rFonts w:hint="eastAsia" w:ascii="仿宋_GB2312" w:hAnsi="仿宋_GB2312" w:eastAsia="仿宋_GB2312" w:cs="仿宋_GB2312"/>
          <w:color w:val="000000"/>
          <w:kern w:val="0"/>
          <w:sz w:val="32"/>
          <w:szCs w:val="32"/>
          <w:highlight w:val="none"/>
        </w:rPr>
        <w:t>、第</w:t>
      </w:r>
      <w:r>
        <w:rPr>
          <w:rFonts w:hint="eastAsia" w:ascii="仿宋_GB2312" w:hAnsi="仿宋_GB2312" w:eastAsia="仿宋_GB2312" w:cs="仿宋_GB2312"/>
          <w:color w:val="000000"/>
          <w:kern w:val="0"/>
          <w:sz w:val="32"/>
          <w:szCs w:val="32"/>
          <w:highlight w:val="none"/>
          <w:lang w:eastAsia="zh-CN"/>
        </w:rPr>
        <w:t>四十六</w:t>
      </w:r>
      <w:r>
        <w:rPr>
          <w:rFonts w:hint="eastAsia" w:ascii="仿宋_GB2312" w:hAnsi="仿宋_GB2312" w:eastAsia="仿宋_GB2312" w:cs="仿宋_GB2312"/>
          <w:color w:val="000000"/>
          <w:kern w:val="0"/>
          <w:sz w:val="32"/>
          <w:szCs w:val="32"/>
          <w:highlight w:val="none"/>
        </w:rPr>
        <w:t>条的规定。</w:t>
      </w:r>
      <w:r>
        <w:rPr>
          <w:rFonts w:hint="eastAsia" w:ascii="仿宋_GB2312" w:hAnsi="仿宋_GB2312" w:eastAsia="仿宋_GB2312"/>
          <w:color w:val="000000"/>
          <w:spacing w:val="0"/>
          <w:kern w:val="0"/>
          <w:sz w:val="32"/>
          <w:highlight w:val="none"/>
          <w:lang w:eastAsia="zh-CN"/>
        </w:rPr>
        <w:t>王兵、潘桂权作为</w:t>
      </w:r>
      <w:r>
        <w:rPr>
          <w:rFonts w:hint="eastAsia" w:ascii="仿宋_GB2312" w:hAnsi="仿宋_GB2312" w:eastAsia="仿宋_GB2312"/>
          <w:color w:val="000000"/>
          <w:spacing w:val="0"/>
          <w:kern w:val="0"/>
          <w:sz w:val="32"/>
          <w:lang w:eastAsia="zh-CN"/>
        </w:rPr>
        <w:t>国联水产</w:t>
      </w:r>
      <w:r>
        <w:rPr>
          <w:rFonts w:hint="eastAsia" w:ascii="仿宋_GB2312" w:hAnsi="仿宋_GB2312" w:eastAsia="仿宋_GB2312"/>
          <w:color w:val="000000"/>
          <w:spacing w:val="0"/>
          <w:kern w:val="0"/>
          <w:sz w:val="32"/>
          <w:lang w:val="en-US" w:eastAsia="zh-CN"/>
        </w:rPr>
        <w:t>2023年</w:t>
      </w:r>
      <w:r>
        <w:rPr>
          <w:rFonts w:hint="eastAsia" w:ascii="仿宋_GB2312" w:hAnsi="仿宋_GB2312" w:eastAsia="仿宋_GB2312"/>
          <w:color w:val="000000"/>
          <w:spacing w:val="0"/>
          <w:kern w:val="0"/>
          <w:sz w:val="32"/>
          <w:highlight w:val="none"/>
          <w:lang w:eastAsia="zh-CN"/>
        </w:rPr>
        <w:t>年报审计</w:t>
      </w:r>
      <w:r>
        <w:rPr>
          <w:rFonts w:hint="eastAsia" w:ascii="仿宋_GB2312" w:hAnsi="仿宋_GB2312" w:eastAsia="仿宋_GB2312" w:cs="仿宋_GB2312"/>
          <w:color w:val="000000"/>
          <w:kern w:val="0"/>
          <w:sz w:val="32"/>
          <w:szCs w:val="32"/>
          <w:highlight w:val="none"/>
        </w:rPr>
        <w:t>项目的签字注册会计师</w:t>
      </w:r>
      <w:r>
        <w:rPr>
          <w:rFonts w:hint="eastAsia" w:ascii="仿宋_GB2312" w:hAnsi="仿宋_GB2312" w:eastAsia="仿宋_GB2312" w:cs="仿宋_GB2312"/>
          <w:color w:val="000000"/>
          <w:kern w:val="0"/>
          <w:sz w:val="32"/>
          <w:szCs w:val="32"/>
          <w:highlight w:val="none"/>
          <w:lang w:eastAsia="zh-CN"/>
        </w:rPr>
        <w:t>，对上述违规行为</w:t>
      </w:r>
      <w:r>
        <w:rPr>
          <w:rFonts w:hint="eastAsia" w:ascii="仿宋_GB2312" w:hAnsi="仿宋_GB2312" w:eastAsia="仿宋_GB2312"/>
          <w:color w:val="000000"/>
          <w:spacing w:val="0"/>
          <w:kern w:val="0"/>
          <w:sz w:val="32"/>
          <w:highlight w:val="none"/>
          <w:lang w:eastAsia="zh-CN"/>
        </w:rPr>
        <w:t>负有主要责任。</w:t>
      </w:r>
    </w:p>
    <w:p>
      <w:pPr>
        <w:widowControl w:val="0"/>
        <w:numPr>
          <w:ilvl w:val="0"/>
          <w:numId w:val="0"/>
        </w:numPr>
        <w:wordWrap/>
        <w:overflowPunct w:val="0"/>
        <w:adjustRightInd w:val="0"/>
        <w:snapToGrid w:val="0"/>
        <w:spacing w:beforeLines="0" w:afterLines="0" w:line="324" w:lineRule="auto"/>
        <w:ind w:right="0" w:firstLine="640" w:firstLineChars="200"/>
        <w:jc w:val="both"/>
        <w:textAlignment w:val="auto"/>
        <w:outlineLvl w:val="9"/>
        <w:rPr>
          <w:rFonts w:hint="eastAsia" w:ascii="仿宋_GB2312" w:hAnsi="仿宋_GB2312" w:eastAsia="仿宋_GB2312" w:cs="仿宋_GB2312"/>
          <w:color w:val="000000"/>
          <w:spacing w:val="0"/>
          <w:kern w:val="0"/>
          <w:sz w:val="32"/>
          <w:lang w:eastAsia="zh-CN"/>
        </w:rPr>
      </w:pPr>
      <w:r>
        <w:rPr>
          <w:rFonts w:hint="eastAsia" w:ascii="仿宋_GB2312" w:hAnsi="仿宋_GB2312" w:eastAsia="仿宋_GB2312" w:cs="仿宋_GB2312"/>
          <w:color w:val="000000"/>
          <w:spacing w:val="0"/>
          <w:kern w:val="0"/>
          <w:sz w:val="32"/>
          <w:lang w:eastAsia="zh-CN"/>
        </w:rPr>
        <w:t>根据</w:t>
      </w:r>
      <w:r>
        <w:rPr>
          <w:rFonts w:hint="eastAsia" w:ascii="仿宋_GB2312" w:hAnsi="仿宋_GB2312" w:eastAsia="仿宋_GB2312" w:cs="仿宋_GB2312"/>
          <w:color w:val="000000"/>
          <w:spacing w:val="0"/>
          <w:kern w:val="0"/>
          <w:sz w:val="32"/>
        </w:rPr>
        <w:t>《上市公司信息披露管理办法》第</w:t>
      </w:r>
      <w:r>
        <w:rPr>
          <w:rFonts w:hint="eastAsia" w:ascii="仿宋_GB2312" w:hAnsi="仿宋_GB2312" w:eastAsia="仿宋_GB2312" w:cs="仿宋_GB2312"/>
          <w:color w:val="000000"/>
          <w:spacing w:val="0"/>
          <w:kern w:val="0"/>
          <w:sz w:val="32"/>
          <w:lang w:eastAsia="zh-CN"/>
        </w:rPr>
        <w:t>五十五</w:t>
      </w:r>
      <w:r>
        <w:rPr>
          <w:rFonts w:hint="eastAsia" w:ascii="仿宋_GB2312" w:hAnsi="仿宋_GB2312" w:eastAsia="仿宋_GB2312" w:cs="仿宋_GB2312"/>
          <w:color w:val="000000"/>
          <w:spacing w:val="0"/>
          <w:kern w:val="0"/>
          <w:sz w:val="32"/>
        </w:rPr>
        <w:t>条的规定，我局决定对</w:t>
      </w:r>
      <w:r>
        <w:rPr>
          <w:rFonts w:hint="eastAsia" w:ascii="仿宋_GB2312" w:hAnsi="仿宋_GB2312" w:eastAsia="仿宋_GB2312" w:cs="仿宋_GB2312"/>
          <w:color w:val="000000"/>
          <w:spacing w:val="0"/>
          <w:kern w:val="0"/>
          <w:sz w:val="32"/>
          <w:lang w:eastAsia="zh-CN"/>
        </w:rPr>
        <w:t>中审众环所、王兵、潘桂权</w:t>
      </w:r>
      <w:r>
        <w:rPr>
          <w:rFonts w:hint="eastAsia" w:ascii="仿宋_GB2312" w:hAnsi="仿宋_GB2312" w:eastAsia="仿宋_GB2312" w:cs="仿宋_GB2312"/>
          <w:color w:val="000000"/>
          <w:spacing w:val="0"/>
          <w:kern w:val="0"/>
          <w:sz w:val="32"/>
          <w:highlight w:val="none"/>
        </w:rPr>
        <w:t>采取监管谈话</w:t>
      </w:r>
      <w:r>
        <w:rPr>
          <w:rFonts w:hint="eastAsia" w:ascii="仿宋_GB2312" w:hAnsi="仿宋_GB2312" w:eastAsia="仿宋_GB2312" w:cs="仿宋_GB2312"/>
          <w:color w:val="000000"/>
          <w:spacing w:val="0"/>
          <w:kern w:val="0"/>
          <w:sz w:val="32"/>
        </w:rPr>
        <w:t>的行政监管措施。现要求中审众环所</w:t>
      </w:r>
      <w:r>
        <w:rPr>
          <w:rFonts w:hint="eastAsia" w:ascii="仿宋_GB2312" w:hAnsi="仿宋_GB2312" w:eastAsia="仿宋_GB2312" w:cs="仿宋_GB2312"/>
          <w:color w:val="000000"/>
          <w:spacing w:val="0"/>
          <w:kern w:val="0"/>
          <w:sz w:val="32"/>
          <w:lang w:eastAsia="zh-CN"/>
        </w:rPr>
        <w:t>首席合伙人</w:t>
      </w:r>
      <w:r>
        <w:rPr>
          <w:rFonts w:hint="eastAsia" w:ascii="仿宋_GB2312" w:hAnsi="仿宋_GB2312" w:eastAsia="仿宋_GB2312" w:cs="仿宋_GB2312"/>
          <w:color w:val="000000"/>
          <w:spacing w:val="0"/>
          <w:kern w:val="0"/>
          <w:sz w:val="32"/>
        </w:rPr>
        <w:t>、</w:t>
      </w:r>
      <w:r>
        <w:rPr>
          <w:rFonts w:hint="eastAsia" w:ascii="仿宋_GB2312" w:hAnsi="仿宋_GB2312" w:eastAsia="仿宋_GB2312" w:cs="仿宋_GB2312"/>
          <w:color w:val="000000"/>
          <w:spacing w:val="0"/>
          <w:kern w:val="0"/>
          <w:sz w:val="32"/>
          <w:lang w:eastAsia="zh-CN"/>
        </w:rPr>
        <w:t>质控合伙人</w:t>
      </w:r>
      <w:r>
        <w:rPr>
          <w:rFonts w:hint="eastAsia" w:ascii="仿宋_GB2312" w:hAnsi="仿宋_GB2312" w:eastAsia="仿宋_GB2312" w:cs="仿宋_GB2312"/>
          <w:color w:val="000000"/>
          <w:spacing w:val="0"/>
          <w:kern w:val="0"/>
          <w:sz w:val="32"/>
        </w:rPr>
        <w:t>及</w:t>
      </w:r>
      <w:r>
        <w:rPr>
          <w:rFonts w:hint="eastAsia" w:ascii="仿宋_GB2312" w:hAnsi="仿宋_GB2312" w:eastAsia="仿宋_GB2312" w:cs="仿宋_GB2312"/>
          <w:color w:val="000000"/>
          <w:spacing w:val="0"/>
          <w:kern w:val="0"/>
          <w:sz w:val="32"/>
          <w:lang w:eastAsia="zh-CN"/>
        </w:rPr>
        <w:t>王兵、潘桂权</w:t>
      </w:r>
      <w:r>
        <w:rPr>
          <w:rFonts w:hint="eastAsia" w:ascii="仿宋_GB2312" w:hAnsi="仿宋_GB2312" w:eastAsia="仿宋_GB2312" w:cs="仿宋_GB2312"/>
          <w:color w:val="000000"/>
          <w:sz w:val="32"/>
          <w:szCs w:val="32"/>
          <w:lang w:val="en-US" w:eastAsia="zh-CN"/>
        </w:rPr>
        <w:t>于2025年6月4</w:t>
      </w:r>
      <w:r>
        <w:rPr>
          <w:rFonts w:hint="eastAsia" w:ascii="仿宋_GB2312" w:hAnsi="仿宋_GB2312" w:eastAsia="仿宋_GB2312" w:cs="仿宋_GB2312"/>
          <w:color w:val="000000"/>
          <w:sz w:val="32"/>
          <w:szCs w:val="32"/>
          <w:highlight w:val="none"/>
          <w:lang w:val="en-US" w:eastAsia="zh-CN"/>
        </w:rPr>
        <w:t>日上</w:t>
      </w:r>
      <w:r>
        <w:rPr>
          <w:rFonts w:hint="eastAsia" w:ascii="仿宋_GB2312" w:hAnsi="仿宋_GB2312" w:eastAsia="仿宋_GB2312" w:cs="仿宋_GB2312"/>
          <w:color w:val="000000"/>
          <w:sz w:val="32"/>
          <w:szCs w:val="32"/>
          <w:lang w:val="en-US" w:eastAsia="zh-CN"/>
        </w:rPr>
        <w:t>午10时</w:t>
      </w:r>
      <w:r>
        <w:rPr>
          <w:rFonts w:hint="eastAsia" w:ascii="仿宋_GB2312" w:hAnsi="仿宋_GB2312" w:eastAsia="仿宋_GB2312" w:cs="仿宋_GB2312"/>
          <w:color w:val="000000"/>
          <w:spacing w:val="0"/>
          <w:kern w:val="0"/>
          <w:sz w:val="32"/>
        </w:rPr>
        <w:t>携带有效身份证件到广东证监局接受监管谈话。谈话地点：广州市天河区临江大道3号发展中心大厦1</w:t>
      </w:r>
      <w:r>
        <w:rPr>
          <w:rFonts w:hint="eastAsia" w:ascii="仿宋_GB2312" w:hAnsi="仿宋_GB2312" w:eastAsia="仿宋_GB2312" w:cs="仿宋_GB2312"/>
          <w:color w:val="000000"/>
          <w:spacing w:val="0"/>
          <w:kern w:val="0"/>
          <w:sz w:val="32"/>
          <w:lang w:val="en-US" w:eastAsia="zh-CN"/>
        </w:rPr>
        <w:t>3</w:t>
      </w:r>
      <w:r>
        <w:rPr>
          <w:rFonts w:hint="eastAsia" w:ascii="仿宋_GB2312" w:hAnsi="仿宋_GB2312" w:eastAsia="仿宋_GB2312" w:cs="仿宋_GB2312"/>
          <w:color w:val="000000"/>
          <w:spacing w:val="0"/>
          <w:kern w:val="0"/>
          <w:sz w:val="32"/>
        </w:rPr>
        <w:t>楼。</w:t>
      </w:r>
    </w:p>
    <w:p>
      <w:pPr>
        <w:widowControl w:val="0"/>
        <w:wordWrap/>
        <w:overflowPunct w:val="0"/>
        <w:adjustRightInd w:val="0"/>
        <w:snapToGrid w:val="0"/>
        <w:spacing w:before="0" w:beforeLines="0" w:after="0" w:afterLines="0" w:line="324" w:lineRule="auto"/>
        <w:ind w:left="0" w:leftChars="0" w:right="0" w:firstLine="640" w:firstLineChars="0"/>
        <w:jc w:val="both"/>
        <w:textAlignment w:val="auto"/>
        <w:outlineLvl w:val="9"/>
        <w:rPr>
          <w:rFonts w:hint="eastAsia" w:ascii="宋体" w:hAnsi="宋体" w:eastAsia="宋体" w:cs="宋体"/>
          <w:color w:val="000000"/>
          <w:sz w:val="28"/>
          <w:szCs w:val="28"/>
        </w:rPr>
      </w:pPr>
      <w:r>
        <w:rPr>
          <w:rFonts w:hint="eastAsia" w:ascii="仿宋_GB2312" w:hAnsi="仿宋_GB2312" w:eastAsia="仿宋_GB2312" w:cs="仿宋_GB2312"/>
          <w:color w:val="000000"/>
          <w:spacing w:val="0"/>
          <w:kern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kern w:val="0"/>
          <w:sz w:val="32"/>
          <w:lang w:val="en-US" w:eastAsia="zh-CN"/>
        </w:rPr>
        <w:t>,</w:t>
      </w:r>
      <w:r>
        <w:rPr>
          <w:rFonts w:hint="eastAsia" w:ascii="仿宋_GB2312" w:hAnsi="仿宋_GB2312" w:eastAsia="仿宋_GB2312" w:cs="仿宋_GB2312"/>
          <w:color w:val="000000"/>
          <w:spacing w:val="0"/>
          <w:kern w:val="0"/>
          <w:sz w:val="32"/>
        </w:rPr>
        <w:t>也可以在收到本决定书之日起6个月内向有管辖权的人民法院提起诉讼。复议与诉讼期间，上述监督管理措施不停止执行</w:t>
      </w:r>
      <w:r>
        <w:rPr>
          <w:rFonts w:hint="eastAsia" w:ascii="仿宋_GB2312" w:hAnsi="仿宋_GB2312" w:eastAsia="仿宋_GB2312" w:cs="仿宋_GB2312"/>
          <w:color w:val="000000"/>
          <w:spacing w:val="0"/>
          <w:sz w:val="32"/>
        </w:rPr>
        <w:t>。</w:t>
      </w:r>
    </w:p>
    <w:p>
      <w:pPr>
        <w:pStyle w:val="8"/>
        <w:widowControl w:val="0"/>
        <w:overflowPunct w:val="0"/>
        <w:snapToGrid w:val="0"/>
        <w:spacing w:line="360" w:lineRule="auto"/>
        <w:rPr>
          <w:rFonts w:hint="eastAsia" w:ascii="仿宋_GB2312" w:hAnsi="仿宋_GB2312" w:eastAsia="仿宋_GB2312" w:cs="仿宋_GB2312"/>
          <w:color w:val="auto"/>
          <w:sz w:val="16"/>
          <w:szCs w:val="16"/>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16"/>
          <w:szCs w:val="16"/>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16"/>
          <w:szCs w:val="16"/>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rPr>
          <w:rFonts w:hint="eastAsia" w:ascii="仿宋_GB2312" w:eastAsia="仿宋_GB2312"/>
          <w:spacing w:val="8"/>
          <w:sz w:val="28"/>
          <w:lang w:val="en-US" w:eastAsia="zh-CN"/>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4</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16</w:t>
      </w:r>
      <w:r>
        <w:rPr>
          <w:rFonts w:hint="eastAsia" w:ascii="仿宋_GB2312" w:hAnsi="Times New Roman" w:eastAsia="仿宋_GB2312" w:cs="Times New Roman"/>
          <w:color w:val="000000"/>
          <w:spacing w:val="10"/>
          <w:sz w:val="32"/>
          <w:szCs w:val="32"/>
        </w:rPr>
        <w:t>日</w:t>
      </w:r>
    </w:p>
    <w:p>
      <w:pPr>
        <w:snapToGrid w:val="0"/>
        <w:spacing w:line="300" w:lineRule="auto"/>
        <w:ind w:right="26"/>
        <w:jc w:val="left"/>
        <w:rPr>
          <w:rFonts w:hint="eastAsia" w:ascii="黑体" w:eastAsia="黑体"/>
          <w:spacing w:val="8"/>
          <w:sz w:val="24"/>
          <w:szCs w:val="24"/>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抄送：证监会上市司</w:t>
      </w:r>
      <w:r>
        <w:rPr>
          <w:rFonts w:hint="eastAsia" w:ascii="仿宋_GB2312" w:eastAsia="仿宋_GB2312"/>
          <w:spacing w:val="8"/>
          <w:sz w:val="28"/>
          <w:lang w:eastAsia="zh-CN"/>
        </w:rPr>
        <w:t>、</w:t>
      </w:r>
      <w:r>
        <w:rPr>
          <w:rFonts w:hint="eastAsia" w:ascii="仿宋_GB2312" w:eastAsia="仿宋_GB2312"/>
          <w:spacing w:val="8"/>
          <w:sz w:val="28"/>
        </w:rPr>
        <w:t>法治司</w:t>
      </w:r>
      <w:r>
        <w:rPr>
          <w:rFonts w:hint="eastAsia" w:ascii="仿宋_GB2312" w:eastAsia="仿宋_GB2312"/>
          <w:spacing w:val="8"/>
          <w:sz w:val="28"/>
          <w:lang w:eastAsia="zh-CN"/>
        </w:rPr>
        <w:t>、</w:t>
      </w:r>
      <w:r>
        <w:rPr>
          <w:rFonts w:hint="eastAsia" w:ascii="仿宋_GB2312" w:eastAsia="仿宋_GB2312"/>
          <w:spacing w:val="8"/>
          <w:sz w:val="28"/>
        </w:rPr>
        <w:t>会计司；深圳证券交易所。</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4</w:t>
      </w:r>
      <w:r>
        <w:rPr>
          <w:rFonts w:hint="eastAsia" w:ascii="仿宋_GB2312" w:eastAsia="仿宋_GB2312"/>
          <w:spacing w:val="8"/>
          <w:sz w:val="28"/>
        </w:rPr>
        <w:t>月</w:t>
      </w:r>
      <w:r>
        <w:rPr>
          <w:rFonts w:hint="default" w:ascii="仿宋_GB2312" w:eastAsia="仿宋_GB2312"/>
          <w:spacing w:val="8"/>
          <w:sz w:val="28"/>
          <w:lang w:val="en-US"/>
        </w:rPr>
        <w:t>16</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eastAsia="仿宋_GB2312"/>
          <w:spacing w:val="8"/>
          <w:sz w:val="2"/>
          <w:szCs w:val="2"/>
        </w:rPr>
      </w:pPr>
    </w:p>
    <w:bookmarkEnd w:id="0"/>
    <w:p>
      <w:pPr>
        <w:snapToGrid w:val="0"/>
        <w:spacing w:beforeLines="0" w:afterLines="0" w:line="240" w:lineRule="auto"/>
        <w:rPr>
          <w:sz w:val="2"/>
          <w:szCs w:val="2"/>
        </w:rPr>
      </w:pPr>
    </w:p>
    <w:sectPr>
      <w:footerReference r:id="rId3" w:type="default"/>
      <w:pgSz w:w="11906" w:h="16838"/>
      <w:pgMar w:top="2097"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5yS5pgEAAEE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CXZ5FhzRb3cJeRR6uckReeyNcyoCx53Ki/A5L6/Om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AE5yS5pgEAAEEDAAAOAAAAAAAAAAEAIAAAADUBAABkcnMvZTJvRG9jLnhtbFBLBQYAAAAA&#10;BgAGAFkBAABN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B8A8A"/>
    <w:rsid w:val="2DFB7A19"/>
    <w:rsid w:val="2FFC130B"/>
    <w:rsid w:val="57FB8A8A"/>
    <w:rsid w:val="697D5A2B"/>
    <w:rsid w:val="6FFFD7BD"/>
    <w:rsid w:val="7BD7BD63"/>
    <w:rsid w:val="7FA31323"/>
    <w:rsid w:val="97DECCF8"/>
    <w:rsid w:val="BFEEA947"/>
    <w:rsid w:val="DF9F4D3C"/>
    <w:rsid w:val="DFFE0446"/>
    <w:rsid w:val="EDC5B85D"/>
    <w:rsid w:val="F7FCFADF"/>
    <w:rsid w:val="FFD2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2025-02-17T00:51:00Z</dcterms:created>
  <dc:creator>刘旻浩</dc:creator>
  <cp:lastModifiedBy>刘旻浩</cp:lastModifiedBy>
  <dcterms:modified xsi:type="dcterms:W3CDTF">2025-05-30T16:24:56Z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E0BAA9F2B0624C359093AD67716D211D</vt:lpwstr>
  </property>
</Properties>
</file>